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04743" w14:textId="5450E8F5" w:rsidR="002F117A" w:rsidRPr="00B92349" w:rsidRDefault="00374262" w:rsidP="002A7F43">
      <w:pPr>
        <w:pStyle w:val="PressSign"/>
        <w:tabs>
          <w:tab w:val="left" w:pos="3030"/>
        </w:tabs>
        <w:spacing w:line="264" w:lineRule="auto"/>
        <w:rPr>
          <w:noProof w:val="0"/>
        </w:rPr>
      </w:pPr>
      <w:r>
        <w:rPr>
          <w:noProof w:val="0"/>
        </w:rPr>
        <w:t>P</w:t>
      </w:r>
      <w:r w:rsidR="009F5267" w:rsidRPr="00B92349">
        <w:rPr>
          <w:noProof w:val="0"/>
        </w:rPr>
        <w:t>ress Release</w:t>
      </w:r>
      <w:r w:rsidR="002A7F43">
        <w:rPr>
          <w:noProof w:val="0"/>
        </w:rPr>
        <w:tab/>
      </w:r>
    </w:p>
    <w:tbl>
      <w:tblPr>
        <w:tblStyle w:val="TableGrid"/>
        <w:tblW w:w="5000" w:type="pct"/>
        <w:tblLook w:val="04A0" w:firstRow="1" w:lastRow="0" w:firstColumn="1" w:lastColumn="0" w:noHBand="0" w:noVBand="1"/>
      </w:tblPr>
      <w:tblGrid>
        <w:gridCol w:w="5955"/>
        <w:gridCol w:w="3677"/>
      </w:tblGrid>
      <w:tr w:rsidR="009F5267" w:rsidRPr="00B92349" w14:paraId="599810A9" w14:textId="77777777" w:rsidTr="4A8EE68D">
        <w:trPr>
          <w:trHeight w:val="397"/>
        </w:trPr>
        <w:tc>
          <w:tcPr>
            <w:tcW w:w="3091" w:type="pct"/>
            <w:vAlign w:val="center"/>
          </w:tcPr>
          <w:p w14:paraId="277AD0E6" w14:textId="71B1FC5D" w:rsidR="009F5267" w:rsidRPr="00971BE9" w:rsidRDefault="009F5267" w:rsidP="009F5267">
            <w:pPr>
              <w:pStyle w:val="Company"/>
              <w:rPr>
                <w:b w:val="0"/>
                <w:bCs/>
                <w:noProof w:val="0"/>
              </w:rPr>
            </w:pPr>
          </w:p>
        </w:tc>
        <w:tc>
          <w:tcPr>
            <w:tcW w:w="1909" w:type="pct"/>
            <w:vAlign w:val="center"/>
          </w:tcPr>
          <w:p w14:paraId="0453A670" w14:textId="63EEACF5" w:rsidR="009B4E0F" w:rsidRDefault="002A7F43" w:rsidP="009F7D84">
            <w:pPr>
              <w:pStyle w:val="Date"/>
              <w:jc w:val="center"/>
            </w:pPr>
            <w:r>
              <w:t xml:space="preserve">               </w:t>
            </w:r>
            <w:r w:rsidR="009B4E0F">
              <w:t xml:space="preserve">Malvern, </w:t>
            </w:r>
            <w:r w:rsidR="00004E20">
              <w:t>Pa</w:t>
            </w:r>
            <w:r w:rsidR="009B4E0F">
              <w:t xml:space="preserve">.    </w:t>
            </w:r>
          </w:p>
          <w:p w14:paraId="2DACCF43" w14:textId="1E3F936B" w:rsidR="009F5267" w:rsidRPr="009D6BDA" w:rsidRDefault="00BE5D5E" w:rsidP="00BE5D5E">
            <w:pPr>
              <w:pStyle w:val="Date"/>
              <w:jc w:val="center"/>
            </w:pPr>
            <w:r>
              <w:t xml:space="preserve">                </w:t>
            </w:r>
            <w:r w:rsidR="00BA015D">
              <w:t xml:space="preserve">April </w:t>
            </w:r>
            <w:r w:rsidR="003C1B39">
              <w:t>7</w:t>
            </w:r>
            <w:r w:rsidR="009B4E0F">
              <w:t>, 202</w:t>
            </w:r>
            <w:r w:rsidR="002A7F43">
              <w:t>6</w:t>
            </w:r>
            <w:r w:rsidR="009B4E0F">
              <w:br/>
            </w:r>
          </w:p>
        </w:tc>
      </w:tr>
    </w:tbl>
    <w:p w14:paraId="484E6F08" w14:textId="77777777" w:rsidR="00DA1C73" w:rsidRDefault="00BE5D5E" w:rsidP="4A8EE68D">
      <w:pPr>
        <w:pStyle w:val="Headline"/>
        <w:rPr>
          <w:rFonts w:cs="Calibri"/>
          <w:b/>
          <w:bCs/>
        </w:rPr>
      </w:pPr>
      <w:r w:rsidRPr="4A8EE68D">
        <w:rPr>
          <w:rFonts w:cs="Calibri"/>
          <w:b/>
          <w:bCs/>
        </w:rPr>
        <w:t xml:space="preserve">Siemens Healthineers and </w:t>
      </w:r>
      <w:r w:rsidR="009B4E0F" w:rsidRPr="4A8EE68D">
        <w:rPr>
          <w:rFonts w:cs="Calibri"/>
          <w:b/>
          <w:bCs/>
        </w:rPr>
        <w:t xml:space="preserve">Onvida Health </w:t>
      </w:r>
      <w:r w:rsidR="003753DA" w:rsidRPr="4A8EE68D">
        <w:rPr>
          <w:rFonts w:cs="Calibri"/>
          <w:b/>
          <w:bCs/>
        </w:rPr>
        <w:t xml:space="preserve">Enter </w:t>
      </w:r>
      <w:r w:rsidR="00DA1C73" w:rsidRPr="4A8EE68D">
        <w:rPr>
          <w:rFonts w:cs="Calibri"/>
          <w:b/>
          <w:bCs/>
        </w:rPr>
        <w:t>Into</w:t>
      </w:r>
    </w:p>
    <w:p w14:paraId="0C3C5DDD" w14:textId="7795C90A" w:rsidR="004C71C7" w:rsidRPr="005E4074" w:rsidRDefault="003753DA" w:rsidP="004C71C7">
      <w:pPr>
        <w:pStyle w:val="Headline"/>
        <w:rPr>
          <w:sz w:val="24"/>
          <w:szCs w:val="24"/>
        </w:rPr>
      </w:pPr>
      <w:r>
        <w:rPr>
          <w:rFonts w:cs="Calibri"/>
          <w:b/>
          <w:bCs/>
          <w:szCs w:val="32"/>
        </w:rPr>
        <w:t>10-Year</w:t>
      </w:r>
      <w:r w:rsidR="009B4E0F" w:rsidRPr="00B17D8F">
        <w:rPr>
          <w:rFonts w:cs="Calibri"/>
          <w:b/>
          <w:bCs/>
          <w:szCs w:val="32"/>
        </w:rPr>
        <w:t xml:space="preserve"> Value Partnership</w:t>
      </w:r>
      <w:r>
        <w:rPr>
          <w:rFonts w:cs="Calibri"/>
          <w:b/>
          <w:bCs/>
          <w:szCs w:val="32"/>
        </w:rPr>
        <w:br/>
      </w:r>
      <w:r w:rsidR="005E4074">
        <w:rPr>
          <w:rFonts w:cs="Calibri"/>
          <w:sz w:val="24"/>
          <w:szCs w:val="24"/>
        </w:rPr>
        <w:br/>
      </w:r>
      <w:r w:rsidRPr="00BE5D5E">
        <w:rPr>
          <w:rFonts w:cs="Calibri"/>
          <w:b/>
          <w:bCs/>
          <w:sz w:val="22"/>
          <w:szCs w:val="22"/>
        </w:rPr>
        <w:t>Collaborative agreement focuses on operational efficiencies</w:t>
      </w:r>
      <w:r w:rsidR="00FA574E" w:rsidRPr="00BE5D5E">
        <w:rPr>
          <w:rFonts w:cs="Calibri"/>
          <w:b/>
          <w:bCs/>
          <w:sz w:val="22"/>
          <w:szCs w:val="22"/>
        </w:rPr>
        <w:t xml:space="preserve">, </w:t>
      </w:r>
      <w:r w:rsidRPr="00BE5D5E">
        <w:rPr>
          <w:rFonts w:cs="Calibri"/>
          <w:b/>
          <w:bCs/>
          <w:sz w:val="22"/>
          <w:szCs w:val="22"/>
        </w:rPr>
        <w:t>bring</w:t>
      </w:r>
      <w:r w:rsidR="00BB09B2" w:rsidRPr="00BE5D5E">
        <w:rPr>
          <w:rFonts w:cs="Calibri"/>
          <w:b/>
          <w:bCs/>
          <w:sz w:val="22"/>
          <w:szCs w:val="22"/>
        </w:rPr>
        <w:t>ing</w:t>
      </w:r>
      <w:r w:rsidRPr="00BE5D5E">
        <w:rPr>
          <w:rFonts w:cs="Calibri"/>
          <w:b/>
          <w:bCs/>
          <w:sz w:val="22"/>
          <w:szCs w:val="22"/>
        </w:rPr>
        <w:t xml:space="preserve"> new technology to the growing health system </w:t>
      </w:r>
      <w:r w:rsidR="00FA574E" w:rsidRPr="00BE5D5E">
        <w:rPr>
          <w:rFonts w:cs="Calibri"/>
          <w:b/>
          <w:bCs/>
          <w:sz w:val="22"/>
          <w:szCs w:val="22"/>
        </w:rPr>
        <w:t>and</w:t>
      </w:r>
      <w:r w:rsidR="00A83522" w:rsidRPr="00BE5D5E">
        <w:rPr>
          <w:rFonts w:cs="Calibri"/>
          <w:b/>
          <w:bCs/>
          <w:sz w:val="22"/>
          <w:szCs w:val="22"/>
        </w:rPr>
        <w:t xml:space="preserve"> Onvida</w:t>
      </w:r>
      <w:r w:rsidR="003C69AD" w:rsidRPr="00BE5D5E">
        <w:rPr>
          <w:rFonts w:cs="Calibri"/>
          <w:b/>
          <w:bCs/>
          <w:sz w:val="22"/>
          <w:szCs w:val="22"/>
        </w:rPr>
        <w:t xml:space="preserve"> Health</w:t>
      </w:r>
      <w:r w:rsidR="00A83522" w:rsidRPr="00BE5D5E">
        <w:rPr>
          <w:rFonts w:cs="Calibri"/>
          <w:b/>
          <w:bCs/>
          <w:sz w:val="22"/>
          <w:szCs w:val="22"/>
        </w:rPr>
        <w:t>’s commitment to</w:t>
      </w:r>
      <w:r w:rsidR="00FA574E" w:rsidRPr="00BE5D5E">
        <w:rPr>
          <w:rFonts w:cs="Calibri"/>
          <w:b/>
          <w:bCs/>
          <w:sz w:val="22"/>
          <w:szCs w:val="22"/>
        </w:rPr>
        <w:t xml:space="preserve"> building a healthier tomorrow</w:t>
      </w:r>
    </w:p>
    <w:p w14:paraId="02E98C27" w14:textId="77777777" w:rsidR="004C71C7" w:rsidRPr="00B92349" w:rsidRDefault="004C71C7" w:rsidP="00971BE9">
      <w:pPr>
        <w:pStyle w:val="Copy"/>
        <w:spacing w:after="0"/>
      </w:pPr>
    </w:p>
    <w:p w14:paraId="71DEBC12" w14:textId="38C6ABD3" w:rsidR="00FA574E" w:rsidRPr="00FA574E" w:rsidRDefault="009058AB" w:rsidP="00FA574E">
      <w:pPr>
        <w:pStyle w:val="Bodytext"/>
        <w:spacing w:line="360" w:lineRule="auto"/>
        <w:rPr>
          <w:rFonts w:cs="Calibri"/>
        </w:rPr>
      </w:pPr>
      <w:r w:rsidRPr="009058AB">
        <w:rPr>
          <w:rFonts w:cs="Calibri"/>
        </w:rPr>
        <w:t>Onvida Health and Siemens Healthineers have entered a 10-year Value Partnership</w:t>
      </w:r>
      <w:r w:rsidR="00BE5D5E">
        <w:rPr>
          <w:rStyle w:val="FootnoteReference"/>
          <w:rFonts w:cs="Calibri"/>
        </w:rPr>
        <w:footnoteReference w:id="1"/>
      </w:r>
      <w:r w:rsidR="001D1A32" w:rsidRPr="00FA574E">
        <w:rPr>
          <w:rFonts w:cs="Calibri"/>
        </w:rPr>
        <w:t xml:space="preserve"> </w:t>
      </w:r>
      <w:r w:rsidRPr="009058AB">
        <w:rPr>
          <w:rFonts w:cs="Calibri"/>
        </w:rPr>
        <w:t>designed to bring the latest medical technology to and improve efficiencies across the health system. As part of the agreement, Siemens Healthineers will modernize Onvida Health’s diagnostic imaging and therapy equipment, and together with its affiliate, ECG Management Consultants (ECG), will work alongside Onvida Health’s leaders to strengthen daily operations and long term planning.</w:t>
      </w:r>
    </w:p>
    <w:p w14:paraId="16A37448" w14:textId="2AEAA6A3" w:rsidR="002B46F4" w:rsidRPr="002838E8" w:rsidRDefault="00FA18ED" w:rsidP="002B46F4">
      <w:pPr>
        <w:pStyle w:val="Bodytext"/>
        <w:spacing w:after="0" w:line="360" w:lineRule="auto"/>
        <w:rPr>
          <w:rFonts w:eastAsia="Calibri" w:cs="Calibri"/>
          <w:color w:val="000000" w:themeColor="text1"/>
        </w:rPr>
      </w:pPr>
      <w:r>
        <w:rPr>
          <w:rFonts w:eastAsia="Calibri" w:cs="Calibri"/>
          <w:b/>
          <w:bCs/>
          <w:color w:val="000000" w:themeColor="text1"/>
        </w:rPr>
        <w:t xml:space="preserve">Supporting a Growing Region </w:t>
      </w:r>
    </w:p>
    <w:p w14:paraId="17B4A5BC" w14:textId="77777777" w:rsidR="009058AB" w:rsidRPr="009058AB" w:rsidRDefault="009058AB" w:rsidP="009058AB">
      <w:pPr>
        <w:pStyle w:val="Bodytext"/>
        <w:spacing w:line="360" w:lineRule="auto"/>
        <w:rPr>
          <w:rFonts w:eastAsia="Calibri" w:cs="Calibri"/>
          <w:color w:val="000000" w:themeColor="text1"/>
        </w:rPr>
      </w:pPr>
      <w:r w:rsidRPr="009058AB">
        <w:rPr>
          <w:rFonts w:eastAsia="Calibri" w:cs="Calibri"/>
          <w:color w:val="000000" w:themeColor="text1"/>
        </w:rPr>
        <w:t>Located in Yuma, Ariz., 10 miles from the U.S.-Mexico border and positioned between Phoenix and San Diego, Onvida Health is a unique 430-bed system serving a rapidly evolving community. Yuma is the second-fastest-growing county in Arizona with an annual growth rate of 1.9 percent. In addition to 222,125 full-time residents, Yuma’s population grows by nearly 90,000 seasonal visitors and residents in the wintertime. </w:t>
      </w:r>
    </w:p>
    <w:p w14:paraId="0846E408" w14:textId="77777777" w:rsidR="009058AB" w:rsidRPr="009058AB" w:rsidRDefault="009058AB" w:rsidP="009058AB">
      <w:pPr>
        <w:pStyle w:val="Bodytext"/>
        <w:spacing w:line="360" w:lineRule="auto"/>
        <w:rPr>
          <w:rFonts w:eastAsia="Calibri" w:cs="Calibri"/>
          <w:color w:val="000000" w:themeColor="text1"/>
        </w:rPr>
      </w:pPr>
      <w:r w:rsidRPr="009058AB">
        <w:rPr>
          <w:rFonts w:eastAsia="Calibri" w:cs="Calibri"/>
          <w:color w:val="000000" w:themeColor="text1"/>
        </w:rPr>
        <w:t>As Yuma’s population continues to rise, so does the need to continue providing advanced medical services close to home. The partnership supports Onvida Health in upgrading key equipment such as computed tomography, magnetic resonance imaging, ultrasound, and radiation therapy systems, helping to reduce wait times and allowing clinical teams to diagnose and treat patients quickly and accurately.</w:t>
      </w:r>
    </w:p>
    <w:p w14:paraId="22A6CC5E" w14:textId="77777777" w:rsidR="009058AB" w:rsidRPr="009058AB" w:rsidRDefault="009058AB" w:rsidP="009058AB">
      <w:pPr>
        <w:pStyle w:val="Bodytext"/>
        <w:spacing w:line="360" w:lineRule="auto"/>
        <w:rPr>
          <w:rFonts w:eastAsia="Calibri" w:cs="Calibri"/>
          <w:color w:val="000000" w:themeColor="text1"/>
        </w:rPr>
      </w:pPr>
      <w:r w:rsidRPr="009058AB">
        <w:rPr>
          <w:rFonts w:eastAsia="Calibri" w:cs="Calibri"/>
          <w:color w:val="000000" w:themeColor="text1"/>
        </w:rPr>
        <w:lastRenderedPageBreak/>
        <w:t>“As a leading rural, regional health system, Onvida Health values the importance of investing in technology today, and the impact it has on healthcare tomorrow,” says Robert J. Trenschel, DO, president &amp; CEO at Onvida Heath. “Partnerships like this build on our ongoing commitment to providing our patients the same level of advanced, innovative technology often reserved for major metropolitan areas.” </w:t>
      </w:r>
    </w:p>
    <w:p w14:paraId="70381E5F" w14:textId="50C8B8CB" w:rsidR="002B46F4" w:rsidRPr="005E4074" w:rsidRDefault="002B46F4" w:rsidP="005E4074">
      <w:pPr>
        <w:pStyle w:val="Bodytext"/>
        <w:spacing w:line="360" w:lineRule="auto"/>
      </w:pPr>
      <w:r w:rsidRPr="002838E8">
        <w:rPr>
          <w:rFonts w:eastAsia="Calibri" w:cs="Calibri"/>
          <w:b/>
          <w:bCs/>
          <w:color w:val="000000" w:themeColor="text1"/>
        </w:rPr>
        <w:t>Value Partnership Highlights:</w:t>
      </w:r>
    </w:p>
    <w:p w14:paraId="2B34147D" w14:textId="77777777" w:rsidR="009058AB" w:rsidRPr="009058AB" w:rsidRDefault="009058AB" w:rsidP="009058AB">
      <w:pPr>
        <w:pStyle w:val="Bodytext"/>
        <w:numPr>
          <w:ilvl w:val="0"/>
          <w:numId w:val="11"/>
        </w:numPr>
        <w:tabs>
          <w:tab w:val="clear" w:pos="720"/>
        </w:tabs>
        <w:spacing w:after="0" w:line="360" w:lineRule="auto"/>
        <w:rPr>
          <w:rFonts w:eastAsia="Calibri" w:cs="Calibri"/>
          <w:b/>
          <w:bCs/>
          <w:color w:val="000000" w:themeColor="text1"/>
        </w:rPr>
      </w:pPr>
      <w:r w:rsidRPr="009058AB">
        <w:rPr>
          <w:rFonts w:eastAsia="Calibri" w:cs="Calibri"/>
          <w:b/>
          <w:bCs/>
          <w:color w:val="000000" w:themeColor="text1"/>
        </w:rPr>
        <w:t xml:space="preserve">Continuous Access to the Latest Technology: </w:t>
      </w:r>
      <w:r w:rsidRPr="009058AB">
        <w:rPr>
          <w:rFonts w:eastAsia="Calibri" w:cs="Calibri"/>
          <w:color w:val="000000" w:themeColor="text1"/>
        </w:rPr>
        <w:t xml:space="preserve">Patients will benefit from Siemens Healthineers' advanced imaging and treatment tools, improving early detection and helping care teams provide more personalized care. </w:t>
      </w:r>
    </w:p>
    <w:p w14:paraId="0802BF8D" w14:textId="77777777" w:rsidR="009058AB" w:rsidRPr="009058AB" w:rsidRDefault="009058AB" w:rsidP="009058AB">
      <w:pPr>
        <w:pStyle w:val="Bodytext"/>
        <w:numPr>
          <w:ilvl w:val="0"/>
          <w:numId w:val="11"/>
        </w:numPr>
        <w:tabs>
          <w:tab w:val="clear" w:pos="720"/>
        </w:tabs>
        <w:spacing w:after="0" w:line="360" w:lineRule="auto"/>
        <w:rPr>
          <w:rFonts w:eastAsia="Calibri" w:cs="Calibri"/>
          <w:b/>
          <w:bCs/>
          <w:color w:val="000000" w:themeColor="text1"/>
        </w:rPr>
      </w:pPr>
      <w:r w:rsidRPr="009058AB">
        <w:rPr>
          <w:rFonts w:eastAsia="Calibri" w:cs="Calibri"/>
          <w:b/>
          <w:bCs/>
          <w:color w:val="000000" w:themeColor="text1"/>
        </w:rPr>
        <w:t xml:space="preserve">Enhanced Clinical Capabilities: </w:t>
      </w:r>
      <w:r w:rsidRPr="009058AB">
        <w:rPr>
          <w:rFonts w:eastAsia="Calibri" w:cs="Calibri"/>
          <w:color w:val="000000" w:themeColor="text1"/>
        </w:rPr>
        <w:t>A coordinated plan for both technology and service will help advance care in areas such as heart health, cancer treatment, and diagnostic imaging, supporting Onvida Health’s long-term vision for growth.</w:t>
      </w:r>
    </w:p>
    <w:p w14:paraId="4225C722" w14:textId="185E416B" w:rsidR="00BE5D5E" w:rsidRPr="009058AB" w:rsidRDefault="009058AB" w:rsidP="009058AB">
      <w:pPr>
        <w:pStyle w:val="Bodytext"/>
        <w:numPr>
          <w:ilvl w:val="0"/>
          <w:numId w:val="11"/>
        </w:numPr>
        <w:tabs>
          <w:tab w:val="clear" w:pos="720"/>
        </w:tabs>
        <w:spacing w:after="0" w:line="360" w:lineRule="auto"/>
        <w:rPr>
          <w:rFonts w:eastAsia="Calibri" w:cs="Calibri"/>
          <w:b/>
          <w:bCs/>
          <w:color w:val="000000" w:themeColor="text1"/>
        </w:rPr>
      </w:pPr>
      <w:r w:rsidRPr="009058AB">
        <w:rPr>
          <w:rFonts w:eastAsia="Calibri" w:cs="Calibri"/>
          <w:b/>
          <w:bCs/>
          <w:color w:val="000000" w:themeColor="text1"/>
        </w:rPr>
        <w:t xml:space="preserve">A Long-term Commitment: </w:t>
      </w:r>
      <w:r w:rsidRPr="009058AB">
        <w:rPr>
          <w:rFonts w:eastAsia="Calibri" w:cs="Calibri"/>
          <w:color w:val="000000" w:themeColor="text1"/>
        </w:rPr>
        <w:t>Siemens Healthineers and ECG will partner with Onvida Health on strategic planning to help address challenges including workforce shortages and patient scheduling.</w:t>
      </w:r>
    </w:p>
    <w:p w14:paraId="7EA08A55" w14:textId="77777777" w:rsidR="009058AB" w:rsidRDefault="009058AB" w:rsidP="00BE5D5E">
      <w:pPr>
        <w:pStyle w:val="Bodytext"/>
        <w:spacing w:after="0" w:line="360" w:lineRule="auto"/>
        <w:ind w:left="360"/>
        <w:rPr>
          <w:rFonts w:cs="Calibri"/>
        </w:rPr>
      </w:pPr>
    </w:p>
    <w:p w14:paraId="2031583D" w14:textId="6D4D06AD" w:rsidR="002B46F4" w:rsidRPr="00BE5D5E" w:rsidRDefault="002B46F4" w:rsidP="00BE5D5E">
      <w:pPr>
        <w:pStyle w:val="Bodytext"/>
        <w:spacing w:after="0" w:line="360" w:lineRule="auto"/>
        <w:ind w:left="360"/>
        <w:rPr>
          <w:rFonts w:eastAsia="Calibri" w:cs="Calibri"/>
          <w:color w:val="000000" w:themeColor="text1"/>
        </w:rPr>
      </w:pPr>
      <w:r w:rsidRPr="4A8EE68D">
        <w:rPr>
          <w:rFonts w:cs="Calibri"/>
        </w:rPr>
        <w:t>“</w:t>
      </w:r>
      <w:r w:rsidR="009058AB" w:rsidRPr="009058AB">
        <w:rPr>
          <w:rFonts w:cs="Calibri"/>
        </w:rPr>
        <w:t>By focusing on improvements in rural health and quality of care in rapidly growing communities, Onvida Health and Siemens Healthineers are combining local expertise and commitment with the advanced technology and insights we’ve developed by collaborating with providers around the world,” said John Kowal, president and head of the Americas at Siemens Healthineers. Added Chris Collins, CEO of ECG: “This unique partnership brings together advanced medical technology and systemwide advisory expertise to help Onvida Health accelerate performance, scale innovation, and further strengthen their position as a market leader.”</w:t>
      </w:r>
    </w:p>
    <w:p w14:paraId="2012CCB7" w14:textId="77777777" w:rsidR="002B46F4" w:rsidRPr="002838E8" w:rsidRDefault="002B46F4" w:rsidP="002B46F4">
      <w:pPr>
        <w:pStyle w:val="Bodytext"/>
        <w:spacing w:after="0" w:line="360" w:lineRule="auto"/>
        <w:rPr>
          <w:rFonts w:eastAsia="Calibri" w:cs="Calibri"/>
          <w:color w:val="000000" w:themeColor="text1"/>
        </w:rPr>
      </w:pPr>
    </w:p>
    <w:p w14:paraId="174E1E3F" w14:textId="77777777" w:rsidR="00D17506" w:rsidRPr="00B92349" w:rsidRDefault="00E55C76" w:rsidP="00971BE9">
      <w:pPr>
        <w:pStyle w:val="Copy"/>
        <w:spacing w:after="0"/>
        <w:rPr>
          <w:b/>
        </w:rPr>
      </w:pPr>
      <w:r w:rsidRPr="00B92349">
        <w:rPr>
          <w:b/>
        </w:rPr>
        <w:t>Media contact</w:t>
      </w:r>
    </w:p>
    <w:p w14:paraId="2AEB1A40" w14:textId="77777777" w:rsidR="00E55C76" w:rsidRPr="00B92349" w:rsidRDefault="00E55C76" w:rsidP="006F0C33">
      <w:pPr>
        <w:pStyle w:val="CopyohneLeerraum"/>
      </w:pPr>
      <w:r w:rsidRPr="00B92349">
        <w:t>Siemens Healthineers</w:t>
      </w:r>
    </w:p>
    <w:p w14:paraId="185AC80B" w14:textId="1E33254F" w:rsidR="00E55C76" w:rsidRPr="00B92349" w:rsidRDefault="001A6943" w:rsidP="006F0C33">
      <w:pPr>
        <w:pStyle w:val="CopyohneLeerraum"/>
      </w:pPr>
      <w:r>
        <w:t>Julie Gibson</w:t>
      </w:r>
    </w:p>
    <w:p w14:paraId="6DB909B6" w14:textId="6C000ECA" w:rsidR="006260A2" w:rsidRPr="006260A2" w:rsidRDefault="00BA45EF" w:rsidP="006F0C33">
      <w:pPr>
        <w:pStyle w:val="CopyohneLeerraum"/>
        <w:rPr>
          <w:rStyle w:val="Hyperlink"/>
          <w:color w:val="auto"/>
          <w:u w:val="none"/>
        </w:rPr>
      </w:pPr>
      <w:r>
        <w:t>+1 917 929 5779</w:t>
      </w:r>
      <w:r w:rsidR="00E55C76" w:rsidRPr="00B92349">
        <w:t xml:space="preserve">; </w:t>
      </w:r>
      <w:r>
        <w:t>julie.gibson</w:t>
      </w:r>
      <w:r w:rsidR="00E55C76" w:rsidRPr="00B92349">
        <w:t>@siemens-healthineers.com</w:t>
      </w:r>
    </w:p>
    <w:p w14:paraId="6EB68267" w14:textId="77777777" w:rsidR="00D17506" w:rsidRDefault="00E55C76" w:rsidP="006F0C33">
      <w:pPr>
        <w:pStyle w:val="CopyohneLeerraum"/>
      </w:pPr>
      <w:r w:rsidRPr="00B92349">
        <w:t xml:space="preserve">Visit the </w:t>
      </w:r>
      <w:hyperlink r:id="rId11" w:history="1">
        <w:r w:rsidRPr="00B92349">
          <w:rPr>
            <w:rStyle w:val="Hyperlink"/>
          </w:rPr>
          <w:t>Siemens Healthineers Press Center</w:t>
        </w:r>
      </w:hyperlink>
      <w:r w:rsidRPr="00B92349">
        <w:t>.</w:t>
      </w:r>
    </w:p>
    <w:p w14:paraId="6AB589D9" w14:textId="77777777" w:rsidR="00F22BDE" w:rsidRDefault="00F22BDE" w:rsidP="00F22BDE">
      <w:pPr>
        <w:pStyle w:val="Copy"/>
      </w:pPr>
      <w:r w:rsidRPr="00A17106">
        <w:t xml:space="preserve">Subscribe to our </w:t>
      </w:r>
      <w:hyperlink r:id="rId12" w:history="1">
        <w:r w:rsidRPr="003F73C2">
          <w:rPr>
            <w:rStyle w:val="Hyperlink"/>
          </w:rPr>
          <w:t>“Medtech matters” newsletter on LinkedIn</w:t>
        </w:r>
      </w:hyperlink>
      <w:r w:rsidRPr="003F73C2">
        <w:t>.</w:t>
      </w:r>
    </w:p>
    <w:p w14:paraId="566EC83E" w14:textId="77777777" w:rsidR="00E55C76" w:rsidRPr="00B92349" w:rsidRDefault="00E55C76" w:rsidP="006F0C33">
      <w:pPr>
        <w:pStyle w:val="CopyohneLeerraum"/>
      </w:pPr>
    </w:p>
    <w:p w14:paraId="7304CA30" w14:textId="77777777" w:rsidR="00E55C76" w:rsidRPr="00B92349" w:rsidRDefault="00E55C76" w:rsidP="006F0C33">
      <w:pPr>
        <w:pStyle w:val="CopyohneLeerraum"/>
      </w:pPr>
    </w:p>
    <w:p w14:paraId="19CD8136" w14:textId="55A115C8" w:rsidR="008009CD" w:rsidRDefault="002D6B84" w:rsidP="008009CD">
      <w:pPr>
        <w:pStyle w:val="Businessdata"/>
      </w:pPr>
      <w:r w:rsidRPr="00A80FEE">
        <w:rPr>
          <w:b/>
          <w:bCs/>
        </w:rPr>
        <w:t xml:space="preserve">Siemens Healthineers </w:t>
      </w:r>
      <w:r w:rsidRPr="00A80FEE">
        <w:t xml:space="preserve">pioneers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w:t>
      </w:r>
      <w:r w:rsidRPr="00A80FEE">
        <w:lastRenderedPageBreak/>
        <w:t xml:space="preserve">and artificial intelligence. In fiscal </w:t>
      </w:r>
      <w:r>
        <w:t>2025</w:t>
      </w:r>
      <w:r w:rsidRPr="00A80FEE">
        <w:t xml:space="preserve">, which ended on September 30, </w:t>
      </w:r>
      <w:r>
        <w:t>2025</w:t>
      </w:r>
      <w:r w:rsidRPr="00A80FEE">
        <w:t xml:space="preserve">, Siemens Healthineers had approximately </w:t>
      </w:r>
      <w:r w:rsidRPr="00720902">
        <w:t>74,000 employees</w:t>
      </w:r>
      <w:r w:rsidRPr="00A80FEE">
        <w:t xml:space="preserve"> worldwide and generated revenue of around </w:t>
      </w:r>
      <w:r w:rsidRPr="00B649E2">
        <w:t>€23.4 billion</w:t>
      </w:r>
      <w:r w:rsidRPr="00A80FEE">
        <w:t xml:space="preserve">. </w:t>
      </w:r>
      <w:r w:rsidRPr="002D6B84">
        <w:t xml:space="preserve">Further information is available at </w:t>
      </w:r>
      <w:hyperlink r:id="rId13">
        <w:r w:rsidRPr="002D6B84">
          <w:rPr>
            <w:rStyle w:val="Hyperlink"/>
          </w:rPr>
          <w:t>siemens-healthineers.com</w:t>
        </w:r>
      </w:hyperlink>
      <w:r w:rsidRPr="002D6B84">
        <w:t>.</w:t>
      </w:r>
    </w:p>
    <w:sectPr w:rsidR="008009CD" w:rsidSect="00D17506">
      <w:headerReference w:type="default" r:id="rId14"/>
      <w:footerReference w:type="default" r:id="rId15"/>
      <w:headerReference w:type="first" r:id="rId16"/>
      <w:footerReference w:type="first" r:id="rId17"/>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C13C1" w14:textId="77777777" w:rsidR="00726A95" w:rsidRDefault="00726A95" w:rsidP="00E4091D">
      <w:pPr>
        <w:spacing w:line="240" w:lineRule="auto"/>
      </w:pPr>
      <w:r>
        <w:separator/>
      </w:r>
    </w:p>
  </w:endnote>
  <w:endnote w:type="continuationSeparator" w:id="0">
    <w:p w14:paraId="5BD73C85" w14:textId="77777777" w:rsidR="00726A95" w:rsidRDefault="00726A95"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775AE11F" w14:textId="77777777">
      <w:tc>
        <w:tcPr>
          <w:tcW w:w="2408" w:type="dxa"/>
        </w:tcPr>
        <w:p w14:paraId="5C4296D0" w14:textId="77777777" w:rsidR="00D17506" w:rsidRDefault="00D17506" w:rsidP="006F0C33">
          <w:pPr>
            <w:pStyle w:val="Footer1"/>
          </w:pPr>
        </w:p>
      </w:tc>
      <w:tc>
        <w:tcPr>
          <w:tcW w:w="2408" w:type="dxa"/>
        </w:tcPr>
        <w:p w14:paraId="01A083C8" w14:textId="77777777" w:rsidR="00D17506" w:rsidRDefault="00D17506" w:rsidP="006F0C33">
          <w:pPr>
            <w:pStyle w:val="Footer1"/>
          </w:pPr>
        </w:p>
      </w:tc>
      <w:tc>
        <w:tcPr>
          <w:tcW w:w="2408" w:type="dxa"/>
        </w:tcPr>
        <w:p w14:paraId="05EC3772" w14:textId="77777777" w:rsidR="00D17506" w:rsidRDefault="00D17506" w:rsidP="006F0C33">
          <w:pPr>
            <w:pStyle w:val="Footer1"/>
          </w:pPr>
        </w:p>
      </w:tc>
      <w:tc>
        <w:tcPr>
          <w:tcW w:w="2408" w:type="dxa"/>
        </w:tcPr>
        <w:p w14:paraId="5217D533" w14:textId="77777777" w:rsidR="00D17506" w:rsidRDefault="00E55C76" w:rsidP="006F0C33">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747B49CF" w14:textId="77777777" w:rsidR="00E4091D" w:rsidRPr="00D17506" w:rsidRDefault="00E4091D" w:rsidP="006F0C33">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D4E7" w14:textId="77777777" w:rsidR="00D17506" w:rsidRDefault="00D17506" w:rsidP="006F0C33">
    <w:pPr>
      <w:pStyle w:val="CopyohneLeerraum"/>
    </w:pPr>
  </w:p>
  <w:tbl>
    <w:tblPr>
      <w:tblStyle w:val="TableGrid"/>
      <w:tblW w:w="5000" w:type="pct"/>
      <w:tblLook w:val="04A0" w:firstRow="1" w:lastRow="0" w:firstColumn="1" w:lastColumn="0" w:noHBand="0" w:noVBand="1"/>
    </w:tblPr>
    <w:tblGrid>
      <w:gridCol w:w="3212"/>
      <w:gridCol w:w="3211"/>
      <w:gridCol w:w="3209"/>
    </w:tblGrid>
    <w:tr w:rsidR="00A1099A" w14:paraId="4054558F" w14:textId="77777777" w:rsidTr="00A1099A">
      <w:trPr>
        <w:trHeight w:val="680"/>
      </w:trPr>
      <w:tc>
        <w:tcPr>
          <w:tcW w:w="1667" w:type="pct"/>
          <w:tcBorders>
            <w:bottom w:val="single" w:sz="4" w:space="0" w:color="BFBFBF" w:themeColor="text2"/>
          </w:tcBorders>
        </w:tcPr>
        <w:p w14:paraId="78EF43A2" w14:textId="77777777" w:rsidR="00A1099A" w:rsidRDefault="00A1099A" w:rsidP="00D42372">
          <w:pPr>
            <w:pStyle w:val="Copy"/>
          </w:pPr>
          <w:r>
            <w:rPr>
              <w:noProof/>
            </w:rPr>
            <w:drawing>
              <wp:inline distT="0" distB="0" distL="0" distR="0" wp14:anchorId="73961092" wp14:editId="5F06A421">
                <wp:extent cx="1244600" cy="292894"/>
                <wp:effectExtent l="0" t="0" r="0" b="0"/>
                <wp:docPr id="1997637165" name="Grafik 1997637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683" cy="303974"/>
                        </a:xfrm>
                        <a:prstGeom prst="rect">
                          <a:avLst/>
                        </a:prstGeom>
                        <a:noFill/>
                        <a:ln>
                          <a:noFill/>
                        </a:ln>
                      </pic:spPr>
                    </pic:pic>
                  </a:graphicData>
                </a:graphic>
              </wp:inline>
            </w:drawing>
          </w:r>
        </w:p>
      </w:tc>
      <w:tc>
        <w:tcPr>
          <w:tcW w:w="1667" w:type="pct"/>
          <w:tcBorders>
            <w:bottom w:val="single" w:sz="4" w:space="0" w:color="BFBFBF" w:themeColor="text2"/>
          </w:tcBorders>
        </w:tcPr>
        <w:p w14:paraId="0E029405" w14:textId="77777777" w:rsidR="00A1099A" w:rsidRDefault="00A1099A" w:rsidP="00D42372">
          <w:pPr>
            <w:pStyle w:val="Copy"/>
          </w:pPr>
        </w:p>
      </w:tc>
      <w:tc>
        <w:tcPr>
          <w:tcW w:w="1667" w:type="pct"/>
          <w:tcBorders>
            <w:bottom w:val="single" w:sz="4" w:space="0" w:color="BFBFBF" w:themeColor="text2"/>
          </w:tcBorders>
        </w:tcPr>
        <w:p w14:paraId="13F5308D" w14:textId="66F7A675" w:rsidR="00A1099A" w:rsidRDefault="00A1099A" w:rsidP="00D42372">
          <w:pPr>
            <w:pStyle w:val="Copy"/>
          </w:pPr>
        </w:p>
      </w:tc>
    </w:tr>
    <w:tr w:rsidR="00A1099A" w14:paraId="6F5A3F39" w14:textId="77777777" w:rsidTr="00A1099A">
      <w:trPr>
        <w:trHeight w:val="1814"/>
      </w:trPr>
      <w:tc>
        <w:tcPr>
          <w:tcW w:w="1667" w:type="pct"/>
          <w:tcBorders>
            <w:top w:val="single" w:sz="4" w:space="0" w:color="BFBFBF" w:themeColor="text2"/>
          </w:tcBorders>
          <w:tcMar>
            <w:top w:w="57" w:type="dxa"/>
          </w:tcMar>
        </w:tcPr>
        <w:p w14:paraId="7E631B99" w14:textId="3F6D7ADD" w:rsidR="00A1099A" w:rsidRPr="00971BE9" w:rsidRDefault="00A1099A" w:rsidP="009F5267">
          <w:pPr>
            <w:pStyle w:val="Footer1"/>
            <w:jc w:val="left"/>
            <w:rPr>
              <w:rStyle w:val="Strong"/>
              <w:lang w:val="de-DE"/>
            </w:rPr>
          </w:pPr>
          <w:r w:rsidRPr="00971BE9">
            <w:rPr>
              <w:rStyle w:val="Strong"/>
              <w:lang w:val="de-DE"/>
            </w:rPr>
            <w:t xml:space="preserve">Siemens </w:t>
          </w:r>
          <w:r w:rsidR="00BE5D5E">
            <w:rPr>
              <w:rStyle w:val="Strong"/>
              <w:lang w:val="de-DE"/>
            </w:rPr>
            <w:t>Medical Solutions, USA</w:t>
          </w:r>
        </w:p>
        <w:p w14:paraId="70EAA473" w14:textId="7538EE3E" w:rsidR="00A1099A" w:rsidRDefault="00BE5D5E" w:rsidP="009F5267">
          <w:pPr>
            <w:pStyle w:val="Footer1"/>
            <w:jc w:val="left"/>
          </w:pPr>
          <w:r>
            <w:rPr>
              <w:lang w:val="de-DE"/>
            </w:rPr>
            <w:t>40 Lib</w:t>
          </w:r>
          <w:r>
            <w:t>erty Boulevard</w:t>
          </w:r>
          <w:r>
            <w:br/>
            <w:t>Malvern, PA 19355</w:t>
          </w:r>
        </w:p>
      </w:tc>
      <w:tc>
        <w:tcPr>
          <w:tcW w:w="1667" w:type="pct"/>
          <w:tcBorders>
            <w:top w:val="single" w:sz="4" w:space="0" w:color="BFBFBF" w:themeColor="text2"/>
          </w:tcBorders>
          <w:tcMar>
            <w:top w:w="57" w:type="dxa"/>
          </w:tcMar>
        </w:tcPr>
        <w:p w14:paraId="74B3B0E2" w14:textId="77777777" w:rsidR="00A1099A" w:rsidRDefault="00A1099A" w:rsidP="00875298">
          <w:pPr>
            <w:pStyle w:val="Footer1"/>
            <w:jc w:val="left"/>
          </w:pPr>
        </w:p>
      </w:tc>
      <w:tc>
        <w:tcPr>
          <w:tcW w:w="1667" w:type="pct"/>
          <w:tcBorders>
            <w:top w:val="single" w:sz="4" w:space="0" w:color="BFBFBF" w:themeColor="text2"/>
          </w:tcBorders>
          <w:tcMar>
            <w:top w:w="57" w:type="dxa"/>
          </w:tcMar>
        </w:tcPr>
        <w:p w14:paraId="06AE7F67" w14:textId="2CDCB4A4" w:rsidR="00F55A33" w:rsidRDefault="00F55A33" w:rsidP="009F5267">
          <w:pPr>
            <w:pStyle w:val="Footer1"/>
            <w:jc w:val="left"/>
          </w:pPr>
        </w:p>
      </w:tc>
    </w:tr>
    <w:tr w:rsidR="00A1099A" w14:paraId="22A4EB94" w14:textId="77777777" w:rsidTr="006F0C33">
      <w:trPr>
        <w:trHeight w:val="57"/>
      </w:trPr>
      <w:tc>
        <w:tcPr>
          <w:tcW w:w="1667" w:type="pct"/>
        </w:tcPr>
        <w:p w14:paraId="74385F5F" w14:textId="77777777" w:rsidR="00A1099A" w:rsidRDefault="00A1099A" w:rsidP="006F0C33">
          <w:pPr>
            <w:pStyle w:val="Footer1"/>
          </w:pPr>
        </w:p>
      </w:tc>
      <w:tc>
        <w:tcPr>
          <w:tcW w:w="1667" w:type="pct"/>
        </w:tcPr>
        <w:p w14:paraId="31AFAE7B" w14:textId="77777777" w:rsidR="00A1099A" w:rsidRDefault="00A1099A" w:rsidP="006F0C33">
          <w:pPr>
            <w:pStyle w:val="Footer1"/>
          </w:pPr>
        </w:p>
      </w:tc>
      <w:tc>
        <w:tcPr>
          <w:tcW w:w="1667" w:type="pct"/>
        </w:tcPr>
        <w:p w14:paraId="3BC57EF9" w14:textId="77777777" w:rsidR="00A1099A" w:rsidRDefault="00A1099A" w:rsidP="006F0C33">
          <w:pPr>
            <w:pStyle w:val="Footer1"/>
          </w:pPr>
          <w:r>
            <w:t xml:space="preserve">Page </w:t>
          </w:r>
          <w:r>
            <w:fldChar w:fldCharType="begin"/>
          </w:r>
          <w:r>
            <w:instrText xml:space="preserve"> PAGE  \* Arabic  \* MERGEFORMAT </w:instrText>
          </w:r>
          <w:r>
            <w:fldChar w:fldCharType="separate"/>
          </w:r>
          <w:r>
            <w:rPr>
              <w:noProof/>
            </w:rPr>
            <w:t>1</w:t>
          </w:r>
          <w:r>
            <w:fldChar w:fldCharType="end"/>
          </w:r>
          <w:r>
            <w:t>/</w:t>
          </w:r>
          <w:fldSimple w:instr="NUMPAGES   \* MERGEFORMAT">
            <w:r>
              <w:rPr>
                <w:noProof/>
              </w:rPr>
              <w:t>1</w:t>
            </w:r>
          </w:fldSimple>
        </w:p>
      </w:tc>
    </w:tr>
  </w:tbl>
  <w:p w14:paraId="2BEE4D6E" w14:textId="77777777" w:rsidR="00E5154D" w:rsidRPr="006F0C33" w:rsidRDefault="00E5154D" w:rsidP="006F0C33">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A3ABE" w14:textId="77777777" w:rsidR="00726A95" w:rsidRDefault="00726A95" w:rsidP="00E4091D">
      <w:pPr>
        <w:spacing w:line="240" w:lineRule="auto"/>
      </w:pPr>
      <w:r>
        <w:separator/>
      </w:r>
    </w:p>
  </w:footnote>
  <w:footnote w:type="continuationSeparator" w:id="0">
    <w:p w14:paraId="29CA07C8" w14:textId="77777777" w:rsidR="00726A95" w:rsidRDefault="00726A95" w:rsidP="00E4091D">
      <w:pPr>
        <w:spacing w:line="240" w:lineRule="auto"/>
      </w:pPr>
      <w:r>
        <w:continuationSeparator/>
      </w:r>
    </w:p>
  </w:footnote>
  <w:footnote w:id="1">
    <w:p w14:paraId="473A8F3F" w14:textId="489F7847" w:rsidR="00BE5D5E" w:rsidRDefault="00BE5D5E">
      <w:pPr>
        <w:pStyle w:val="FootnoteText"/>
      </w:pPr>
      <w:r>
        <w:rPr>
          <w:rStyle w:val="FootnoteReference"/>
        </w:rPr>
        <w:footnoteRef/>
      </w:r>
      <w:r>
        <w:t xml:space="preserve"> </w:t>
      </w:r>
      <w:r w:rsidRPr="00BE5D5E">
        <w:t>Value Partnerships are long-term and comprehensive engagements between Siemens Healthineers and healthcare providers, enabling them to create more value to better treat patients and reduce operational complexity. They combine each healthcare provider’s know-how and strategic goals with the technologies, innovations and industry expertise of Siemens Healthineers to address pressing challenges such as workforce and budgetary constraints and enhancing healthcare access in underserved communities.</w:t>
      </w:r>
      <w: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0F783" w14:textId="63B6A807" w:rsidR="00D17506" w:rsidRPr="009D6BDA" w:rsidRDefault="00D50955" w:rsidP="009D6BDA">
    <w:pPr>
      <w:pStyle w:val="Header"/>
      <w:rPr>
        <w:rStyle w:val="Strong"/>
        <w:b w:val="0"/>
        <w:bCs w:val="0"/>
      </w:rPr>
    </w:pPr>
    <w:r w:rsidRPr="009D6BDA">
      <w:rPr>
        <w:rStyle w:val="Strong"/>
        <w:b w:val="0"/>
        <w:bCs w:val="0"/>
      </w:rPr>
      <w:fldChar w:fldCharType="begin"/>
    </w:r>
    <w:r w:rsidRPr="009D6BDA">
      <w:rPr>
        <w:rStyle w:val="Strong"/>
        <w:b w:val="0"/>
        <w:bCs w:val="0"/>
      </w:rPr>
      <w:instrText xml:space="preserve"> STYLEREF  "Press Sign"  \* MERGEFORMAT </w:instrText>
    </w:r>
    <w:r w:rsidRPr="009D6BDA">
      <w:rPr>
        <w:rStyle w:val="Strong"/>
        <w:b w:val="0"/>
        <w:bCs w:val="0"/>
      </w:rPr>
      <w:fldChar w:fldCharType="separate"/>
    </w:r>
    <w:r w:rsidR="009058AB">
      <w:rPr>
        <w:rStyle w:val="Strong"/>
        <w:b w:val="0"/>
        <w:bCs w:val="0"/>
      </w:rPr>
      <w:t>Press Release</w:t>
    </w:r>
    <w:r w:rsidRPr="009D6BDA">
      <w:rPr>
        <w:rStyle w:val="Strong"/>
        <w:b w:val="0"/>
        <w:bCs w:val="0"/>
      </w:rPr>
      <w:fldChar w:fldCharType="end"/>
    </w:r>
  </w:p>
  <w:p w14:paraId="5A2435AE" w14:textId="7FD16853" w:rsidR="00E4091D" w:rsidRPr="00A9573E" w:rsidRDefault="00C67741" w:rsidP="009D6BDA">
    <w:pPr>
      <w:pStyle w:val="Header"/>
      <w:rPr>
        <w:rStyle w:val="Strong"/>
      </w:rPr>
    </w:pPr>
    <w:r w:rsidRPr="00A9573E">
      <w:rPr>
        <w:rStyle w:val="Strong"/>
      </w:rPr>
      <w:fldChar w:fldCharType="begin"/>
    </w:r>
    <w:r w:rsidRPr="00A9573E">
      <w:rPr>
        <w:rStyle w:val="Strong"/>
      </w:rPr>
      <w:instrText xml:space="preserve"> STYLEREF  _Company  \* MERGEFORMAT </w:instrText>
    </w:r>
    <w:r w:rsidRPr="00A9573E">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6118" w14:textId="77777777" w:rsidR="00F44AC5" w:rsidRPr="002F117A" w:rsidRDefault="00F44AC5" w:rsidP="002F11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08A269EF"/>
    <w:multiLevelType w:val="multilevel"/>
    <w:tmpl w:val="ACB4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3"/>
  </w:num>
  <w:num w:numId="3" w16cid:durableId="916792621">
    <w:abstractNumId w:val="4"/>
  </w:num>
  <w:num w:numId="4" w16cid:durableId="169368828">
    <w:abstractNumId w:val="1"/>
  </w:num>
  <w:num w:numId="5" w16cid:durableId="623192289">
    <w:abstractNumId w:val="1"/>
  </w:num>
  <w:num w:numId="6" w16cid:durableId="1818573217">
    <w:abstractNumId w:val="1"/>
  </w:num>
  <w:num w:numId="7" w16cid:durableId="692220852">
    <w:abstractNumId w:val="1"/>
  </w:num>
  <w:num w:numId="8" w16cid:durableId="1176044129">
    <w:abstractNumId w:val="1"/>
  </w:num>
  <w:num w:numId="9" w16cid:durableId="11340090">
    <w:abstractNumId w:val="1"/>
  </w:num>
  <w:num w:numId="10" w16cid:durableId="640378683">
    <w:abstractNumId w:val="1"/>
  </w:num>
  <w:num w:numId="11" w16cid:durableId="1325551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84"/>
    <w:rsid w:val="0000115C"/>
    <w:rsid w:val="0000204E"/>
    <w:rsid w:val="00003B49"/>
    <w:rsid w:val="00003FE1"/>
    <w:rsid w:val="00004E20"/>
    <w:rsid w:val="000239C6"/>
    <w:rsid w:val="00095F4A"/>
    <w:rsid w:val="000A466E"/>
    <w:rsid w:val="000B7FC7"/>
    <w:rsid w:val="000C2BBB"/>
    <w:rsid w:val="000D6A38"/>
    <w:rsid w:val="000E4D12"/>
    <w:rsid w:val="00106ADC"/>
    <w:rsid w:val="00110ED2"/>
    <w:rsid w:val="001146B0"/>
    <w:rsid w:val="0012387E"/>
    <w:rsid w:val="001253D3"/>
    <w:rsid w:val="001431C6"/>
    <w:rsid w:val="00143D61"/>
    <w:rsid w:val="001662D1"/>
    <w:rsid w:val="00171FE7"/>
    <w:rsid w:val="00177930"/>
    <w:rsid w:val="001816E0"/>
    <w:rsid w:val="00187C00"/>
    <w:rsid w:val="001A6943"/>
    <w:rsid w:val="001B733C"/>
    <w:rsid w:val="001D1A32"/>
    <w:rsid w:val="001E49F1"/>
    <w:rsid w:val="001E533B"/>
    <w:rsid w:val="002050C7"/>
    <w:rsid w:val="00233914"/>
    <w:rsid w:val="00247666"/>
    <w:rsid w:val="00252F2D"/>
    <w:rsid w:val="002838E8"/>
    <w:rsid w:val="002A429B"/>
    <w:rsid w:val="002A7F43"/>
    <w:rsid w:val="002B46F4"/>
    <w:rsid w:val="002C2A10"/>
    <w:rsid w:val="002D4CFD"/>
    <w:rsid w:val="002D6B84"/>
    <w:rsid w:val="002E5BEF"/>
    <w:rsid w:val="002F117A"/>
    <w:rsid w:val="002F65BC"/>
    <w:rsid w:val="003154ED"/>
    <w:rsid w:val="00335742"/>
    <w:rsid w:val="0034227A"/>
    <w:rsid w:val="0034412D"/>
    <w:rsid w:val="00350AB5"/>
    <w:rsid w:val="00351677"/>
    <w:rsid w:val="003528BE"/>
    <w:rsid w:val="0036024C"/>
    <w:rsid w:val="003629A2"/>
    <w:rsid w:val="00366482"/>
    <w:rsid w:val="00373AB6"/>
    <w:rsid w:val="00374262"/>
    <w:rsid w:val="003753DA"/>
    <w:rsid w:val="003A6046"/>
    <w:rsid w:val="003C15DB"/>
    <w:rsid w:val="003C1B39"/>
    <w:rsid w:val="003C206B"/>
    <w:rsid w:val="003C489B"/>
    <w:rsid w:val="003C69AD"/>
    <w:rsid w:val="003F2E07"/>
    <w:rsid w:val="00402D4B"/>
    <w:rsid w:val="00405CF4"/>
    <w:rsid w:val="00440A72"/>
    <w:rsid w:val="00450929"/>
    <w:rsid w:val="00460520"/>
    <w:rsid w:val="00463047"/>
    <w:rsid w:val="00470A03"/>
    <w:rsid w:val="004A56D3"/>
    <w:rsid w:val="004C71C7"/>
    <w:rsid w:val="004E14FF"/>
    <w:rsid w:val="004F4921"/>
    <w:rsid w:val="004F6861"/>
    <w:rsid w:val="00502A79"/>
    <w:rsid w:val="0050509F"/>
    <w:rsid w:val="005157A8"/>
    <w:rsid w:val="0053591E"/>
    <w:rsid w:val="00535EA3"/>
    <w:rsid w:val="00546B7E"/>
    <w:rsid w:val="00581F68"/>
    <w:rsid w:val="005832E3"/>
    <w:rsid w:val="00583DCD"/>
    <w:rsid w:val="00584D18"/>
    <w:rsid w:val="00587EE0"/>
    <w:rsid w:val="005944C8"/>
    <w:rsid w:val="00594916"/>
    <w:rsid w:val="005C714D"/>
    <w:rsid w:val="005D2ECF"/>
    <w:rsid w:val="005D479B"/>
    <w:rsid w:val="005E4074"/>
    <w:rsid w:val="00610C26"/>
    <w:rsid w:val="006143AA"/>
    <w:rsid w:val="00624B9B"/>
    <w:rsid w:val="006260A2"/>
    <w:rsid w:val="00644CD6"/>
    <w:rsid w:val="00653E3F"/>
    <w:rsid w:val="006612EA"/>
    <w:rsid w:val="006629FA"/>
    <w:rsid w:val="00691C49"/>
    <w:rsid w:val="00692C96"/>
    <w:rsid w:val="006B2B6E"/>
    <w:rsid w:val="006D083F"/>
    <w:rsid w:val="006E5765"/>
    <w:rsid w:val="006F0C33"/>
    <w:rsid w:val="00726A95"/>
    <w:rsid w:val="00772B26"/>
    <w:rsid w:val="00782CF0"/>
    <w:rsid w:val="007929D7"/>
    <w:rsid w:val="007A2421"/>
    <w:rsid w:val="007A785E"/>
    <w:rsid w:val="007E24BE"/>
    <w:rsid w:val="008009CD"/>
    <w:rsid w:val="0084753B"/>
    <w:rsid w:val="00875298"/>
    <w:rsid w:val="008770D2"/>
    <w:rsid w:val="0089006D"/>
    <w:rsid w:val="008A65E4"/>
    <w:rsid w:val="008C4E0C"/>
    <w:rsid w:val="00903FCA"/>
    <w:rsid w:val="009058AB"/>
    <w:rsid w:val="009108C1"/>
    <w:rsid w:val="00924321"/>
    <w:rsid w:val="009315CF"/>
    <w:rsid w:val="00934973"/>
    <w:rsid w:val="009511BF"/>
    <w:rsid w:val="00971BE9"/>
    <w:rsid w:val="00982E62"/>
    <w:rsid w:val="00993C60"/>
    <w:rsid w:val="009A2112"/>
    <w:rsid w:val="009B4E0F"/>
    <w:rsid w:val="009C2AD4"/>
    <w:rsid w:val="009C790A"/>
    <w:rsid w:val="009D6BDA"/>
    <w:rsid w:val="009E3A54"/>
    <w:rsid w:val="009F21A9"/>
    <w:rsid w:val="009F5267"/>
    <w:rsid w:val="009F797E"/>
    <w:rsid w:val="009F7D84"/>
    <w:rsid w:val="00A0717E"/>
    <w:rsid w:val="00A1099A"/>
    <w:rsid w:val="00A17CD7"/>
    <w:rsid w:val="00A215E6"/>
    <w:rsid w:val="00A2631D"/>
    <w:rsid w:val="00A35932"/>
    <w:rsid w:val="00A60D00"/>
    <w:rsid w:val="00A63A1D"/>
    <w:rsid w:val="00A717DF"/>
    <w:rsid w:val="00A83522"/>
    <w:rsid w:val="00A9573E"/>
    <w:rsid w:val="00AD5C91"/>
    <w:rsid w:val="00AE404F"/>
    <w:rsid w:val="00B1163A"/>
    <w:rsid w:val="00B17BEC"/>
    <w:rsid w:val="00B2555D"/>
    <w:rsid w:val="00B34A0E"/>
    <w:rsid w:val="00B442A1"/>
    <w:rsid w:val="00B77CAD"/>
    <w:rsid w:val="00B91DA6"/>
    <w:rsid w:val="00B92349"/>
    <w:rsid w:val="00BA015D"/>
    <w:rsid w:val="00BA097C"/>
    <w:rsid w:val="00BA45EF"/>
    <w:rsid w:val="00BB09B2"/>
    <w:rsid w:val="00BC3A31"/>
    <w:rsid w:val="00BD28F0"/>
    <w:rsid w:val="00BD516C"/>
    <w:rsid w:val="00BD6D2C"/>
    <w:rsid w:val="00BE17C7"/>
    <w:rsid w:val="00BE5D5E"/>
    <w:rsid w:val="00C11E01"/>
    <w:rsid w:val="00C41B7B"/>
    <w:rsid w:val="00C42FCD"/>
    <w:rsid w:val="00C63573"/>
    <w:rsid w:val="00C67741"/>
    <w:rsid w:val="00C67750"/>
    <w:rsid w:val="00C83206"/>
    <w:rsid w:val="00C83BF5"/>
    <w:rsid w:val="00CA0030"/>
    <w:rsid w:val="00CA128E"/>
    <w:rsid w:val="00CA7929"/>
    <w:rsid w:val="00CB3AF6"/>
    <w:rsid w:val="00CC5AB2"/>
    <w:rsid w:val="00CD1FE7"/>
    <w:rsid w:val="00CE559B"/>
    <w:rsid w:val="00CE591D"/>
    <w:rsid w:val="00CE72F4"/>
    <w:rsid w:val="00D10DF6"/>
    <w:rsid w:val="00D1472E"/>
    <w:rsid w:val="00D17506"/>
    <w:rsid w:val="00D2672A"/>
    <w:rsid w:val="00D42372"/>
    <w:rsid w:val="00D43EC2"/>
    <w:rsid w:val="00D50955"/>
    <w:rsid w:val="00D53B06"/>
    <w:rsid w:val="00D56623"/>
    <w:rsid w:val="00D56A8F"/>
    <w:rsid w:val="00D57D6A"/>
    <w:rsid w:val="00D7499D"/>
    <w:rsid w:val="00D836A6"/>
    <w:rsid w:val="00D95DA4"/>
    <w:rsid w:val="00DA1C73"/>
    <w:rsid w:val="00DA36E5"/>
    <w:rsid w:val="00DA5B22"/>
    <w:rsid w:val="00DC380A"/>
    <w:rsid w:val="00DD0F96"/>
    <w:rsid w:val="00DD1573"/>
    <w:rsid w:val="00DD35FE"/>
    <w:rsid w:val="00DE022E"/>
    <w:rsid w:val="00DE19F8"/>
    <w:rsid w:val="00E15114"/>
    <w:rsid w:val="00E15767"/>
    <w:rsid w:val="00E236FC"/>
    <w:rsid w:val="00E4091D"/>
    <w:rsid w:val="00E5154D"/>
    <w:rsid w:val="00E54E6C"/>
    <w:rsid w:val="00E55C76"/>
    <w:rsid w:val="00E76219"/>
    <w:rsid w:val="00EA5FAF"/>
    <w:rsid w:val="00EE1B9D"/>
    <w:rsid w:val="00F01648"/>
    <w:rsid w:val="00F05FB1"/>
    <w:rsid w:val="00F15D12"/>
    <w:rsid w:val="00F22BDE"/>
    <w:rsid w:val="00F44AC5"/>
    <w:rsid w:val="00F51B64"/>
    <w:rsid w:val="00F55A33"/>
    <w:rsid w:val="00F600BA"/>
    <w:rsid w:val="00F66065"/>
    <w:rsid w:val="00FA18ED"/>
    <w:rsid w:val="00FA574E"/>
    <w:rsid w:val="00FB29EA"/>
    <w:rsid w:val="00FB6DBF"/>
    <w:rsid w:val="00FD6593"/>
    <w:rsid w:val="4A8EE68D"/>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019AF"/>
  <w15:docId w15:val="{3006EB5D-A8A0-4D7D-A0D0-9F0FEC58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D6BDA"/>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9D6BDA"/>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9D6BDA"/>
    <w:pPr>
      <w:spacing w:after="0" w:line="240" w:lineRule="auto"/>
    </w:pPr>
  </w:style>
  <w:style w:type="character" w:customStyle="1" w:styleId="Heading2Char">
    <w:name w:val="Heading 2 Char"/>
    <w:basedOn w:val="DefaultParagraphFont"/>
    <w:link w:val="Heading2"/>
    <w:uiPriority w:val="9"/>
    <w:semiHidden/>
    <w:rsid w:val="009D6BDA"/>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9D6BDA"/>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9D6BDA"/>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9D6BDA"/>
    <w:pPr>
      <w:tabs>
        <w:tab w:val="center" w:pos="4536"/>
        <w:tab w:val="right" w:pos="9072"/>
      </w:tabs>
    </w:pPr>
  </w:style>
  <w:style w:type="character" w:customStyle="1" w:styleId="FooterChar">
    <w:name w:val="Footer Char"/>
    <w:basedOn w:val="DefaultParagraphFont"/>
    <w:link w:val="Footer"/>
    <w:uiPriority w:val="99"/>
    <w:semiHidden/>
    <w:rsid w:val="009D6BDA"/>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9D6BDA"/>
    <w:pPr>
      <w:spacing w:after="0" w:line="240" w:lineRule="auto"/>
    </w:pPr>
    <w:rPr>
      <w:sz w:val="16"/>
      <w:szCs w:val="20"/>
    </w:rPr>
  </w:style>
  <w:style w:type="table" w:styleId="TableGrid">
    <w:name w:val="Table Grid"/>
    <w:basedOn w:val="TableNormal"/>
    <w:uiPriority w:val="59"/>
    <w:rsid w:val="009D6BDA"/>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9D6BDA"/>
  </w:style>
  <w:style w:type="paragraph" w:customStyle="1" w:styleId="Date">
    <w:name w:val="_Date"/>
    <w:basedOn w:val="Company"/>
    <w:next w:val="Normal"/>
    <w:qFormat/>
    <w:rsid w:val="009D6BDA"/>
    <w:pPr>
      <w:jc w:val="right"/>
    </w:pPr>
    <w:rPr>
      <w:b w:val="0"/>
    </w:rPr>
  </w:style>
  <w:style w:type="paragraph" w:customStyle="1" w:styleId="CopyohneLeerraum">
    <w:name w:val="_Copy ohne Leerraum"/>
    <w:basedOn w:val="Copy"/>
    <w:rsid w:val="009D6BDA"/>
    <w:pPr>
      <w:spacing w:after="0"/>
    </w:pPr>
  </w:style>
  <w:style w:type="paragraph" w:customStyle="1" w:styleId="Copy">
    <w:name w:val="_Copy"/>
    <w:basedOn w:val="Normal"/>
    <w:qFormat/>
    <w:rsid w:val="009D6BDA"/>
    <w:pPr>
      <w:spacing w:line="360" w:lineRule="auto"/>
    </w:pPr>
    <w:rPr>
      <w:sz w:val="22"/>
    </w:rPr>
  </w:style>
  <w:style w:type="paragraph" w:customStyle="1" w:styleId="Businessdata">
    <w:name w:val="_Business data"/>
    <w:basedOn w:val="Normal"/>
    <w:link w:val="BusinessdataZchn"/>
    <w:qFormat/>
    <w:rsid w:val="009D6BDA"/>
    <w:pPr>
      <w:spacing w:line="360" w:lineRule="auto"/>
    </w:pPr>
    <w:rPr>
      <w:sz w:val="16"/>
    </w:rPr>
  </w:style>
  <w:style w:type="paragraph" w:customStyle="1" w:styleId="Businessdatabold">
    <w:name w:val="_Business data bold"/>
    <w:basedOn w:val="Businessdata"/>
    <w:next w:val="Businessdata"/>
    <w:link w:val="BusinessdataboldZchn"/>
    <w:qFormat/>
    <w:rsid w:val="009D6BDA"/>
    <w:rPr>
      <w:b/>
    </w:rPr>
  </w:style>
  <w:style w:type="paragraph" w:customStyle="1" w:styleId="PressSign">
    <w:name w:val="Press Sign"/>
    <w:basedOn w:val="Normal"/>
    <w:rsid w:val="009D6BDA"/>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9D6BDA"/>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9D6BDA"/>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9D6BDA"/>
    <w:pPr>
      <w:numPr>
        <w:numId w:val="10"/>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9D6BDA"/>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9D6BDA"/>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9D6BDA"/>
  </w:style>
  <w:style w:type="character" w:customStyle="1" w:styleId="FootnoteTextChar">
    <w:name w:val="Footnote Text Char"/>
    <w:basedOn w:val="DefaultParagraphFont"/>
    <w:link w:val="FootnoteText"/>
    <w:uiPriority w:val="99"/>
    <w:rsid w:val="009D6BDA"/>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9D6BDA"/>
    <w:rPr>
      <w:vertAlign w:val="superscript"/>
    </w:rPr>
  </w:style>
  <w:style w:type="character" w:styleId="Strong">
    <w:name w:val="Strong"/>
    <w:basedOn w:val="DefaultParagraphFont"/>
    <w:uiPriority w:val="22"/>
    <w:rsid w:val="009D6BDA"/>
    <w:rPr>
      <w:b/>
      <w:bCs/>
    </w:rPr>
  </w:style>
  <w:style w:type="character" w:styleId="Hyperlink">
    <w:name w:val="Hyperlink"/>
    <w:basedOn w:val="DefaultParagraphFont"/>
    <w:uiPriority w:val="1"/>
    <w:rsid w:val="009D6BDA"/>
    <w:rPr>
      <w:noProof w:val="0"/>
      <w:color w:val="EC6602" w:themeColor="background2"/>
      <w:u w:val="single"/>
      <w:lang w:val="en-US"/>
    </w:rPr>
  </w:style>
  <w:style w:type="paragraph" w:customStyle="1" w:styleId="Abstand">
    <w:name w:val="Abstand"/>
    <w:basedOn w:val="Copy"/>
    <w:rsid w:val="009D6BDA"/>
    <w:pPr>
      <w:spacing w:after="120"/>
    </w:pPr>
  </w:style>
  <w:style w:type="character" w:customStyle="1" w:styleId="BusinessdataZchn">
    <w:name w:val="_Business data Zchn"/>
    <w:basedOn w:val="DefaultParagraphFont"/>
    <w:link w:val="Businessdata"/>
    <w:rsid w:val="009D6BDA"/>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9D6BDA"/>
    <w:rPr>
      <w:rFonts w:eastAsiaTheme="minorEastAsia" w:cs="Times New Roman (Textkörper CS)"/>
      <w:b/>
      <w:kern w:val="8"/>
      <w:sz w:val="16"/>
      <w:lang w:val="en-US"/>
    </w:rPr>
  </w:style>
  <w:style w:type="character" w:styleId="UnresolvedMention">
    <w:name w:val="Unresolved Mention"/>
    <w:basedOn w:val="DefaultParagraphFont"/>
    <w:uiPriority w:val="99"/>
    <w:semiHidden/>
    <w:unhideWhenUsed/>
    <w:rsid w:val="009D6BDA"/>
    <w:rPr>
      <w:color w:val="605E5C"/>
      <w:shd w:val="clear" w:color="auto" w:fill="E1DFDD"/>
    </w:rPr>
  </w:style>
  <w:style w:type="paragraph" w:customStyle="1" w:styleId="Boilerplate">
    <w:name w:val="Boilerplate"/>
    <w:basedOn w:val="Normal"/>
    <w:semiHidden/>
    <w:qFormat/>
    <w:rsid w:val="009D6BDA"/>
    <w:pPr>
      <w:keepLines/>
      <w:spacing w:after="0" w:line="360" w:lineRule="auto"/>
    </w:pPr>
    <w:rPr>
      <w:rFonts w:ascii="Calibri" w:eastAsia="Times New Roman" w:hAnsi="Calibri" w:cs="Times New Roman"/>
      <w:kern w:val="0"/>
      <w:sz w:val="16"/>
      <w:szCs w:val="20"/>
      <w:lang w:val="de-DE" w:eastAsia="de-DE"/>
    </w:rPr>
  </w:style>
  <w:style w:type="paragraph" w:customStyle="1" w:styleId="Bodytext">
    <w:name w:val="Bodytext"/>
    <w:basedOn w:val="Normal"/>
    <w:uiPriority w:val="1"/>
    <w:qFormat/>
    <w:rsid w:val="002B46F4"/>
    <w:pPr>
      <w:spacing w:line="276" w:lineRule="auto"/>
    </w:pPr>
    <w:rPr>
      <w:rFonts w:ascii="Calibri" w:eastAsia="Times New Roman" w:hAnsi="Calibri" w:cs="Times New Roman"/>
      <w:kern w:val="0"/>
      <w:sz w:val="22"/>
    </w:rPr>
  </w:style>
  <w:style w:type="character" w:styleId="CommentReference">
    <w:name w:val="annotation reference"/>
    <w:basedOn w:val="DefaultParagraphFont"/>
    <w:uiPriority w:val="99"/>
    <w:semiHidden/>
    <w:unhideWhenUsed/>
    <w:rsid w:val="00BB09B2"/>
    <w:rPr>
      <w:sz w:val="16"/>
      <w:szCs w:val="16"/>
    </w:rPr>
  </w:style>
  <w:style w:type="paragraph" w:styleId="CommentText">
    <w:name w:val="annotation text"/>
    <w:basedOn w:val="Normal"/>
    <w:link w:val="CommentTextChar"/>
    <w:uiPriority w:val="99"/>
    <w:unhideWhenUsed/>
    <w:rsid w:val="00BB09B2"/>
    <w:pPr>
      <w:spacing w:line="240" w:lineRule="auto"/>
    </w:pPr>
    <w:rPr>
      <w:sz w:val="20"/>
      <w:szCs w:val="20"/>
    </w:rPr>
  </w:style>
  <w:style w:type="character" w:customStyle="1" w:styleId="CommentTextChar">
    <w:name w:val="Comment Text Char"/>
    <w:basedOn w:val="DefaultParagraphFont"/>
    <w:link w:val="CommentText"/>
    <w:uiPriority w:val="99"/>
    <w:rsid w:val="00BB09B2"/>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BB09B2"/>
    <w:rPr>
      <w:b/>
      <w:bCs/>
    </w:rPr>
  </w:style>
  <w:style w:type="character" w:customStyle="1" w:styleId="CommentSubjectChar">
    <w:name w:val="Comment Subject Char"/>
    <w:basedOn w:val="CommentTextChar"/>
    <w:link w:val="CommentSubject"/>
    <w:uiPriority w:val="99"/>
    <w:semiHidden/>
    <w:rsid w:val="00BB09B2"/>
    <w:rPr>
      <w:rFonts w:eastAsiaTheme="minorEastAsia" w:cs="Times New Roman (Textkörper CS)"/>
      <w:b/>
      <w:bCs/>
      <w:kern w:val="8"/>
      <w:sz w:val="20"/>
      <w:szCs w:val="20"/>
      <w:lang w:val="en-US"/>
    </w:rPr>
  </w:style>
  <w:style w:type="paragraph" w:styleId="Revision">
    <w:name w:val="Revision"/>
    <w:hidden/>
    <w:uiPriority w:val="99"/>
    <w:semiHidden/>
    <w:rsid w:val="001D1A32"/>
    <w:pPr>
      <w:spacing w:after="0" w:line="240" w:lineRule="auto"/>
    </w:pPr>
    <w:rPr>
      <w:rFonts w:eastAsiaTheme="minorEastAsia" w:cs="Times New Roman (Textkörper CS)"/>
      <w:kern w:val="8"/>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iemens-healthineer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newsletters/medtech-matters-727440850731390566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iemens-healthineers.com/pre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6766f8-85b3-4996-bc0c-1cc444c4a46d" xsi:nil="true"/>
    <lcf76f155ced4ddcb4097134ff3c332f xmlns="a09881a3-adae-4fda-9301-572f0b3c3d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F6506A00417C4BB242EE209C45CC4C" ma:contentTypeVersion="16" ma:contentTypeDescription="Create a new document." ma:contentTypeScope="" ma:versionID="c5892576ac2dc177ae79da8ed76e4148">
  <xsd:schema xmlns:xsd="http://www.w3.org/2001/XMLSchema" xmlns:xs="http://www.w3.org/2001/XMLSchema" xmlns:p="http://schemas.microsoft.com/office/2006/metadata/properties" xmlns:ns2="a09881a3-adae-4fda-9301-572f0b3c3d57" xmlns:ns3="d36766f8-85b3-4996-bc0c-1cc444c4a46d" targetNamespace="http://schemas.microsoft.com/office/2006/metadata/properties" ma:root="true" ma:fieldsID="87b591cf8159d464c128f591f5cfb67d" ns2:_="" ns3:_="">
    <xsd:import namespace="a09881a3-adae-4fda-9301-572f0b3c3d57"/>
    <xsd:import namespace="d36766f8-85b3-4996-bc0c-1cc444c4a4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81a3-adae-4fda-9301-572f0b3c3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6766f8-85b3-4996-bc0c-1cc444c4a46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0ec0c1-1cf7-4b7c-b800-52d23e52ce20}" ma:internalName="TaxCatchAll" ma:showField="CatchAllData" ma:web="d36766f8-85b3-4996-bc0c-1cc444c4a46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15A8A-593E-43A5-B8EA-7876FFEEF297}">
  <ds:schemaRefs>
    <ds:schemaRef ds:uri="http://schemas.microsoft.com/office/2006/metadata/properties"/>
    <ds:schemaRef ds:uri="http://schemas.microsoft.com/office/infopath/2007/PartnerControls"/>
    <ds:schemaRef ds:uri="d36766f8-85b3-4996-bc0c-1cc444c4a46d"/>
    <ds:schemaRef ds:uri="a09881a3-adae-4fda-9301-572f0b3c3d57"/>
  </ds:schemaRefs>
</ds:datastoreItem>
</file>

<file path=customXml/itemProps2.xml><?xml version="1.0" encoding="utf-8"?>
<ds:datastoreItem xmlns:ds="http://schemas.openxmlformats.org/officeDocument/2006/customXml" ds:itemID="{DD29EA8E-BE24-4E2B-B9B6-87BEAB0F1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81a3-adae-4fda-9301-572f0b3c3d57"/>
    <ds:schemaRef ds:uri="d36766f8-85b3-4996-bc0c-1cc444c4a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94EA5-4CBC-4F82-9116-0E8AF0F27170}">
  <ds:schemaRefs>
    <ds:schemaRef ds:uri="http://schemas.microsoft.com/sharepoint/v3/contenttype/forms"/>
  </ds:schemaRefs>
</ds:datastoreItem>
</file>

<file path=customXml/itemProps4.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707</Words>
  <Characters>4033</Characters>
  <Application>Microsoft Office Word</Application>
  <DocSecurity>0</DocSecurity>
  <Lines>33</Lines>
  <Paragraphs>9</Paragraphs>
  <ScaleCrop>false</ScaleCrop>
  <Manager/>
  <Company/>
  <LinksUpToDate>false</LinksUpToDate>
  <CharactersWithSpaces>4731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Geyer, Juliane</dc:creator>
  <cp:keywords/>
  <dc:description/>
  <cp:lastModifiedBy>Weiss, Michael</cp:lastModifiedBy>
  <cp:revision>9</cp:revision>
  <cp:lastPrinted>2019-08-29T11:04:00Z</cp:lastPrinted>
  <dcterms:created xsi:type="dcterms:W3CDTF">2026-04-02T16:28:00Z</dcterms:created>
  <dcterms:modified xsi:type="dcterms:W3CDTF">2026-04-06T20:21:00Z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2023-12-06T13:19:03Z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ea1ce94e-afb9-4a46-9ea8-672152805eea</vt:lpwstr>
  </property>
  <property fmtid="{D5CDD505-2E9C-101B-9397-08002B2CF9AE}" pid="8" name="MSIP_Label_ff6dbec8-95a8-4638-9f5f-bd076536645c_ContentBits">
    <vt:lpwstr>0</vt:lpwstr>
  </property>
  <property fmtid="{D5CDD505-2E9C-101B-9397-08002B2CF9AE}" pid="9" name="ContentTypeId">
    <vt:lpwstr>0x01010059F6506A00417C4BB242EE209C45CC4C</vt:lpwstr>
  </property>
  <property fmtid="{D5CDD505-2E9C-101B-9397-08002B2CF9AE}" pid="10" name="MediaServiceImageTags">
    <vt:lpwstr/>
  </property>
</Properties>
</file>