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0AC7" w14:textId="77777777" w:rsidR="0083541F" w:rsidRPr="0083541F" w:rsidRDefault="0083541F" w:rsidP="0083541F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83541F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Confidence without compromise.</w:t>
      </w:r>
    </w:p>
    <w:p w14:paraId="21DDB9C2" w14:textId="77777777" w:rsidR="0083541F" w:rsidRDefault="0083541F" w:rsidP="0083541F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83541F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Introducing the Dual Energy difference.</w:t>
      </w:r>
    </w:p>
    <w:p w14:paraId="1FFB5766" w14:textId="77777777" w:rsidR="0083541F" w:rsidRDefault="0083541F" w:rsidP="0083541F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</w:pPr>
    </w:p>
    <w:p w14:paraId="0D61F9B1" w14:textId="77777777" w:rsidR="0083541F" w:rsidRPr="0083541F" w:rsidRDefault="0083541F" w:rsidP="008354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83541F">
        <w:rPr>
          <w:rStyle w:val="normaltextrun"/>
          <w:rFonts w:cstheme="minorHAnsi"/>
          <w:b/>
          <w:bCs/>
          <w:sz w:val="22"/>
          <w:szCs w:val="22"/>
        </w:rPr>
        <w:t>Dual Energy Spectral Imaging has arrived.</w:t>
      </w:r>
    </w:p>
    <w:p w14:paraId="687EFD44" w14:textId="77777777" w:rsidR="007331C8" w:rsidRDefault="007331C8" w:rsidP="007174C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4741F45" w14:textId="18E70611" w:rsidR="005702A9" w:rsidRPr="006E5924" w:rsidRDefault="005702A9" w:rsidP="007174C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E5924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Hello </w:t>
      </w:r>
      <w:r w:rsidRPr="006E5924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&lt;Name&gt;,</w:t>
      </w:r>
    </w:p>
    <w:p w14:paraId="66919D61" w14:textId="77777777" w:rsidR="004A1AC1" w:rsidRPr="006E5924" w:rsidRDefault="004A1AC1" w:rsidP="007174C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E32000D" w14:textId="77777777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83541F">
        <w:rPr>
          <w:rFonts w:ascii="Calibri" w:eastAsia="Calibri" w:hAnsi="Calibri" w:cs="Calibri"/>
          <w:lang w:bidi="ar-SA"/>
        </w:rPr>
        <w:t xml:space="preserve">At </w:t>
      </w:r>
      <w:r w:rsidRPr="0083541F">
        <w:rPr>
          <w:rFonts w:ascii="Calibri" w:eastAsia="Calibri" w:hAnsi="Calibri" w:cs="Calibri"/>
          <w:color w:val="000000" w:themeColor="text1"/>
          <w:highlight w:val="lightGray"/>
          <w:lang w:bidi="ar-SA"/>
        </w:rPr>
        <w:t>&lt;Facility Name&gt;,</w:t>
      </w:r>
      <w:r w:rsidRPr="0083541F">
        <w:rPr>
          <w:rFonts w:ascii="Calibri" w:eastAsia="Calibri" w:hAnsi="Calibri" w:cs="Calibri"/>
          <w:color w:val="000000" w:themeColor="text1"/>
          <w:lang w:bidi="ar-SA"/>
        </w:rPr>
        <w:t xml:space="preserve"> we believe i</w:t>
      </w:r>
      <w:r w:rsidRPr="0083541F">
        <w:rPr>
          <w:rFonts w:ascii="Calibri" w:eastAsia="Calibri" w:hAnsi="Calibri" w:cs="Calibri"/>
          <w:lang w:bidi="ar-SA"/>
        </w:rPr>
        <w:t>nformation-rich Dual Energy spectral imaging can make a world of difference for you, and your patients.</w:t>
      </w:r>
      <w:r w:rsidRPr="0083541F">
        <w:rPr>
          <w:rFonts w:ascii="Calibri" w:eastAsia="Calibri" w:hAnsi="Calibri" w:cs="Times New Roman"/>
          <w:lang w:bidi="ar-SA"/>
        </w:rPr>
        <w:t xml:space="preserve"> We’re proud to provide a proven CT solution that can serve your entire patient population.</w:t>
      </w:r>
      <w:r w:rsidRPr="0083541F">
        <w:rPr>
          <w:rFonts w:ascii="Calibri" w:eastAsia="Calibri" w:hAnsi="Calibri" w:cs="Calibri"/>
          <w:lang w:bidi="ar-SA"/>
        </w:rPr>
        <w:t xml:space="preserve"> </w:t>
      </w:r>
    </w:p>
    <w:p w14:paraId="0F38F5ED" w14:textId="77777777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</w:p>
    <w:p w14:paraId="173F3AAD" w14:textId="77777777" w:rsidR="0083541F" w:rsidRPr="0083541F" w:rsidRDefault="0083541F" w:rsidP="0083541F">
      <w:pPr>
        <w:widowControl/>
        <w:autoSpaceDE/>
        <w:autoSpaceDN/>
        <w:spacing w:after="0"/>
        <w:textAlignment w:val="baseline"/>
        <w:rPr>
          <w:rFonts w:ascii="Calibri" w:eastAsia="Calibri" w:hAnsi="Calibri" w:cs="Calibri"/>
          <w:b/>
          <w:bCs/>
          <w:lang w:bidi="ar-SA"/>
        </w:rPr>
      </w:pPr>
      <w:r w:rsidRPr="0083541F">
        <w:rPr>
          <w:rFonts w:ascii="Calibri" w:eastAsia="Calibri" w:hAnsi="Calibri" w:cs="Calibri"/>
          <w:b/>
          <w:bCs/>
          <w:lang w:bidi="ar-SA"/>
        </w:rPr>
        <w:t>Powerful performance delivers invaluable clinical information. </w:t>
      </w:r>
    </w:p>
    <w:p w14:paraId="6FBAAD73" w14:textId="77777777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83541F">
        <w:rPr>
          <w:rFonts w:ascii="Calibri" w:eastAsia="Calibri" w:hAnsi="Calibri" w:cs="Calibri"/>
          <w:lang w:bidi="ar-SA"/>
        </w:rPr>
        <w:t>Improved visualization and quantification provide an unparalleled depth of information to uncover obscure pathology and incidental findings.</w:t>
      </w:r>
    </w:p>
    <w:p w14:paraId="679D143A" w14:textId="77777777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</w:p>
    <w:p w14:paraId="101DF43A" w14:textId="77777777" w:rsidR="0083541F" w:rsidRPr="0083541F" w:rsidRDefault="0083541F" w:rsidP="0083541F">
      <w:pPr>
        <w:widowControl/>
        <w:autoSpaceDE/>
        <w:autoSpaceDN/>
        <w:spacing w:after="0"/>
        <w:textAlignment w:val="baseline"/>
        <w:rPr>
          <w:rFonts w:ascii="Calibri" w:eastAsia="Times New Roman" w:hAnsi="Calibri" w:cs="Calibri"/>
          <w:b/>
          <w:bCs/>
          <w:lang w:bidi="ar-SA"/>
        </w:rPr>
      </w:pPr>
      <w:r w:rsidRPr="0083541F">
        <w:rPr>
          <w:rFonts w:ascii="Calibri" w:eastAsia="Times New Roman" w:hAnsi="Calibri" w:cs="Calibri"/>
          <w:b/>
          <w:bCs/>
          <w:lang w:bidi="ar-SA"/>
        </w:rPr>
        <w:t>Versatile imaging serves entire patient populations quickly and efficiently.</w:t>
      </w:r>
    </w:p>
    <w:p w14:paraId="682F11E9" w14:textId="77777777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83541F">
        <w:rPr>
          <w:rFonts w:ascii="Calibri" w:eastAsia="Calibri" w:hAnsi="Calibri" w:cs="Calibri"/>
          <w:lang w:bidi="ar-SA"/>
        </w:rPr>
        <w:t>Resourceful technology offers an adaptable solution for pediatric, obese, and elderly patients faced with a broad range of clinical challenges.</w:t>
      </w:r>
    </w:p>
    <w:p w14:paraId="70CF045D" w14:textId="77777777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</w:p>
    <w:p w14:paraId="50E75321" w14:textId="77777777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color w:val="1B1B1B"/>
          <w:shd w:val="clear" w:color="auto" w:fill="FFFFFF"/>
          <w:lang w:bidi="ar-SA"/>
        </w:rPr>
      </w:pPr>
      <w:r w:rsidRPr="0083541F">
        <w:rPr>
          <w:rFonts w:ascii="Calibri" w:eastAsia="Calibri" w:hAnsi="Calibri" w:cs="Calibri"/>
          <w:b/>
          <w:bCs/>
          <w:color w:val="1B1B1B"/>
          <w:shd w:val="clear" w:color="auto" w:fill="FFFFFF"/>
          <w:lang w:bidi="ar-SA"/>
        </w:rPr>
        <w:t xml:space="preserve">Scanning precision improves patient experience. </w:t>
      </w:r>
    </w:p>
    <w:p w14:paraId="556CEFD4" w14:textId="04D696C3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83541F">
        <w:rPr>
          <w:rFonts w:ascii="Calibri" w:eastAsia="Calibri" w:hAnsi="Calibri" w:cs="Calibri"/>
          <w:lang w:bidi="ar-SA"/>
        </w:rPr>
        <w:t xml:space="preserve">Automated scanning precision lowers radiation and contrast doses and </w:t>
      </w:r>
      <w:r w:rsidR="00C4669D">
        <w:rPr>
          <w:rFonts w:ascii="Calibri" w:eastAsia="Calibri" w:hAnsi="Calibri" w:cs="Calibri"/>
          <w:lang w:bidi="ar-SA"/>
        </w:rPr>
        <w:t xml:space="preserve">has the potential to </w:t>
      </w:r>
      <w:r w:rsidRPr="0083541F">
        <w:rPr>
          <w:rFonts w:ascii="Calibri" w:eastAsia="Calibri" w:hAnsi="Calibri" w:cs="Calibri"/>
          <w:lang w:bidi="ar-SA"/>
        </w:rPr>
        <w:t>reduce the need for patients to undergo repeat and follow-up scans.</w:t>
      </w:r>
    </w:p>
    <w:p w14:paraId="4F3985DC" w14:textId="77777777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lang w:bidi="ar-SA"/>
        </w:rPr>
      </w:pPr>
    </w:p>
    <w:p w14:paraId="6CD12DB3" w14:textId="77777777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lang w:bidi="ar-SA"/>
        </w:rPr>
      </w:pPr>
      <w:r w:rsidRPr="0083541F">
        <w:rPr>
          <w:rFonts w:ascii="Calibri" w:eastAsia="Calibri" w:hAnsi="Calibri" w:cs="Calibri"/>
          <w:b/>
          <w:bCs/>
          <w:lang w:bidi="ar-SA"/>
        </w:rPr>
        <w:t>Diagnostic confidence drives better clinical decisions.</w:t>
      </w:r>
    </w:p>
    <w:p w14:paraId="2FD311A2" w14:textId="77777777" w:rsidR="0083541F" w:rsidRPr="0083541F" w:rsidRDefault="0083541F" w:rsidP="0083541F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83541F">
        <w:rPr>
          <w:rFonts w:ascii="Calibri" w:eastAsia="Calibri" w:hAnsi="Calibri" w:cs="Calibri"/>
          <w:lang w:bidi="ar-SA"/>
        </w:rPr>
        <w:t xml:space="preserve">Information-rich scans give you the confidence to diagnose your patients quickly and accurately for better clinical outcomes. </w:t>
      </w:r>
    </w:p>
    <w:p w14:paraId="469ECF57" w14:textId="77777777" w:rsidR="007331C8" w:rsidRPr="006E5924" w:rsidRDefault="007331C8" w:rsidP="007174CC">
      <w:pPr>
        <w:pStyle w:val="paragraph"/>
        <w:spacing w:before="0" w:beforeAutospacing="0" w:after="0" w:afterAutospacing="0"/>
        <w:textAlignment w:val="baseline"/>
        <w:rPr>
          <w:rFonts w:ascii="Helvetica Neue LT Std 75" w:hAnsi="Helvetica Neue LT Std 75"/>
          <w:b/>
          <w:bCs/>
          <w:color w:val="004F8A"/>
          <w:sz w:val="22"/>
          <w:szCs w:val="22"/>
        </w:rPr>
      </w:pPr>
    </w:p>
    <w:p w14:paraId="0F8E7CA6" w14:textId="3BFB7413" w:rsidR="005702A9" w:rsidRPr="006E5924" w:rsidRDefault="005702A9" w:rsidP="007174CC">
      <w:pPr>
        <w:pStyle w:val="paragraph"/>
        <w:spacing w:before="0" w:beforeAutospacing="0" w:after="0" w:afterAutospacing="0"/>
        <w:textAlignment w:val="baseline"/>
        <w:rPr>
          <w:rStyle w:val="IntenseEmphasis"/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83541F">
        <w:rPr>
          <w:rStyle w:val="IntenseEmphasis"/>
          <w:color w:val="auto"/>
          <w:sz w:val="22"/>
          <w:szCs w:val="22"/>
        </w:rPr>
        <w:t>Learn more at</w:t>
      </w:r>
      <w:r w:rsidRPr="0083541F">
        <w:rPr>
          <w:rStyle w:val="IntenseEmphasis"/>
          <w:b w:val="0"/>
          <w:bCs w:val="0"/>
          <w:color w:val="auto"/>
          <w:sz w:val="22"/>
          <w:szCs w:val="22"/>
        </w:rPr>
        <w:t> </w:t>
      </w:r>
      <w:r w:rsidRPr="006E5924">
        <w:rPr>
          <w:rStyle w:val="IntenseEmphasis"/>
          <w:b w:val="0"/>
          <w:bCs w:val="0"/>
          <w:color w:val="auto"/>
          <w:sz w:val="22"/>
          <w:szCs w:val="22"/>
          <w:highlight w:val="lightGray"/>
        </w:rPr>
        <w:t>&lt;URL&gt;</w:t>
      </w:r>
      <w:r w:rsidRPr="006E5924">
        <w:rPr>
          <w:rStyle w:val="IntenseEmphasis"/>
          <w:color w:val="auto"/>
          <w:sz w:val="22"/>
          <w:szCs w:val="22"/>
        </w:rPr>
        <w:t> </w:t>
      </w:r>
    </w:p>
    <w:p w14:paraId="6850A40D" w14:textId="77777777" w:rsidR="005702A9" w:rsidRPr="006E5924" w:rsidRDefault="005702A9" w:rsidP="007174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E5924">
        <w:rPr>
          <w:rStyle w:val="eop"/>
          <w:rFonts w:ascii="Calibri" w:hAnsi="Calibri" w:cs="Calibri"/>
          <w:sz w:val="22"/>
          <w:szCs w:val="22"/>
        </w:rPr>
        <w:t> </w:t>
      </w:r>
    </w:p>
    <w:p w14:paraId="78B265F4" w14:textId="77777777" w:rsidR="005702A9" w:rsidRPr="006E5924" w:rsidRDefault="005702A9" w:rsidP="007174CC">
      <w:pPr>
        <w:spacing w:after="0"/>
        <w:rPr>
          <w:highlight w:val="lightGray"/>
        </w:rPr>
      </w:pPr>
      <w:r w:rsidRPr="006E5924">
        <w:t>For more information, please contact:</w:t>
      </w:r>
      <w:r w:rsidRPr="006E5924">
        <w:rPr>
          <w:highlight w:val="yellow"/>
        </w:rPr>
        <w:br/>
      </w:r>
      <w:r w:rsidRPr="006E5924">
        <w:rPr>
          <w:highlight w:val="lightGray"/>
        </w:rPr>
        <w:t>Facility Name at &lt;XXX-XXX-XXXX&gt; or </w:t>
      </w:r>
    </w:p>
    <w:p w14:paraId="6EFE3CAC" w14:textId="77777777" w:rsidR="005702A9" w:rsidRPr="006E5924" w:rsidRDefault="005702A9" w:rsidP="007174CC">
      <w:pPr>
        <w:spacing w:after="0"/>
        <w:rPr>
          <w:highlight w:val="lightGray"/>
        </w:rPr>
      </w:pPr>
      <w:r w:rsidRPr="006E5924">
        <w:rPr>
          <w:highlight w:val="lightGray"/>
        </w:rPr>
        <w:t>&lt;Email@address.com&gt; </w:t>
      </w:r>
    </w:p>
    <w:p w14:paraId="2A6A7637" w14:textId="77777777" w:rsidR="005702A9" w:rsidRPr="006E5924" w:rsidRDefault="005702A9" w:rsidP="007174CC">
      <w:pPr>
        <w:spacing w:after="0"/>
        <w:rPr>
          <w:highlight w:val="lightGray"/>
        </w:rPr>
      </w:pPr>
    </w:p>
    <w:p w14:paraId="5145ECD4" w14:textId="77777777" w:rsidR="005702A9" w:rsidRPr="006E5924" w:rsidRDefault="005702A9" w:rsidP="007174CC">
      <w:pPr>
        <w:spacing w:after="0"/>
        <w:rPr>
          <w:highlight w:val="lightGray"/>
        </w:rPr>
      </w:pPr>
      <w:r w:rsidRPr="006E5924">
        <w:rPr>
          <w:highlight w:val="lightGray"/>
        </w:rPr>
        <w:t>&lt;Name of Facility&gt; </w:t>
      </w:r>
    </w:p>
    <w:p w14:paraId="029B5A7C" w14:textId="77777777" w:rsidR="005702A9" w:rsidRPr="006E5924" w:rsidRDefault="005702A9" w:rsidP="007174CC">
      <w:pPr>
        <w:spacing w:after="0"/>
        <w:rPr>
          <w:highlight w:val="lightGray"/>
        </w:rPr>
      </w:pPr>
      <w:r w:rsidRPr="006E5924">
        <w:rPr>
          <w:highlight w:val="lightGray"/>
        </w:rPr>
        <w:t>&lt;Street Address&gt; </w:t>
      </w:r>
    </w:p>
    <w:p w14:paraId="78F355CA" w14:textId="393DC2FB" w:rsidR="005702A9" w:rsidRPr="006E5924" w:rsidRDefault="005702A9" w:rsidP="007174CC">
      <w:pPr>
        <w:spacing w:after="0"/>
      </w:pPr>
      <w:r w:rsidRPr="006E5924">
        <w:rPr>
          <w:highlight w:val="lightGray"/>
        </w:rPr>
        <w:t>&lt;Address #2 Street Address&gt; </w:t>
      </w:r>
      <w:r w:rsidRPr="006E5924">
        <w:rPr>
          <w:highlight w:val="lightGray"/>
        </w:rPr>
        <w:br/>
        <w:t>&lt;City, State, Zip&gt;</w:t>
      </w:r>
      <w:r w:rsidRPr="006E5924">
        <w:t> </w:t>
      </w:r>
    </w:p>
    <w:sectPr w:rsidR="005702A9" w:rsidRPr="006E5924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3FB0" w14:textId="77777777" w:rsidR="00291658" w:rsidRDefault="00291658" w:rsidP="00742A2D">
      <w:r>
        <w:separator/>
      </w:r>
    </w:p>
  </w:endnote>
  <w:endnote w:type="continuationSeparator" w:id="0">
    <w:p w14:paraId="6FD58FA6" w14:textId="77777777" w:rsidR="00291658" w:rsidRDefault="00291658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C7379CC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08E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C9E9" w14:textId="77777777" w:rsidR="00291658" w:rsidRDefault="00291658" w:rsidP="00742A2D">
      <w:r>
        <w:separator/>
      </w:r>
    </w:p>
  </w:footnote>
  <w:footnote w:type="continuationSeparator" w:id="0">
    <w:p w14:paraId="46D088BE" w14:textId="77777777" w:rsidR="00291658" w:rsidRDefault="00291658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5F092B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482F2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C8F6FD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4FE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E1C16"/>
    <w:rsid w:val="000F3DFE"/>
    <w:rsid w:val="00142590"/>
    <w:rsid w:val="00156115"/>
    <w:rsid w:val="00274844"/>
    <w:rsid w:val="00291658"/>
    <w:rsid w:val="003102ED"/>
    <w:rsid w:val="00455DF1"/>
    <w:rsid w:val="004865D6"/>
    <w:rsid w:val="004A1AC1"/>
    <w:rsid w:val="005702A9"/>
    <w:rsid w:val="006014B2"/>
    <w:rsid w:val="00620008"/>
    <w:rsid w:val="00626CCE"/>
    <w:rsid w:val="00630FD4"/>
    <w:rsid w:val="00634515"/>
    <w:rsid w:val="006736F3"/>
    <w:rsid w:val="006E5924"/>
    <w:rsid w:val="00701AAC"/>
    <w:rsid w:val="0070556F"/>
    <w:rsid w:val="007174CC"/>
    <w:rsid w:val="007331C8"/>
    <w:rsid w:val="00742A2D"/>
    <w:rsid w:val="007C6960"/>
    <w:rsid w:val="0083541F"/>
    <w:rsid w:val="00992DDF"/>
    <w:rsid w:val="009D579A"/>
    <w:rsid w:val="00AB6BDA"/>
    <w:rsid w:val="00B10E1F"/>
    <w:rsid w:val="00B534B1"/>
    <w:rsid w:val="00B7143D"/>
    <w:rsid w:val="00BB6CBA"/>
    <w:rsid w:val="00C4669D"/>
    <w:rsid w:val="00CE6064"/>
    <w:rsid w:val="00D17271"/>
    <w:rsid w:val="00E03FE2"/>
    <w:rsid w:val="00E47530"/>
    <w:rsid w:val="00EF1C43"/>
    <w:rsid w:val="00FF3C23"/>
    <w:rsid w:val="13F7CE50"/>
    <w:rsid w:val="37318C97"/>
    <w:rsid w:val="3FE12885"/>
    <w:rsid w:val="434B48FA"/>
    <w:rsid w:val="4363B1D8"/>
    <w:rsid w:val="7D7F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55D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55DF1"/>
  </w:style>
  <w:style w:type="character" w:customStyle="1" w:styleId="eop">
    <w:name w:val="eop"/>
    <w:basedOn w:val="DefaultParagraphFont"/>
    <w:rsid w:val="00455DF1"/>
  </w:style>
  <w:style w:type="character" w:customStyle="1" w:styleId="scxw108927532">
    <w:name w:val="scxw108927532"/>
    <w:basedOn w:val="DefaultParagraphFont"/>
    <w:rsid w:val="004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2805F-6E6B-41F7-9E9D-A968199F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</cp:lastModifiedBy>
  <cp:revision>2</cp:revision>
  <dcterms:created xsi:type="dcterms:W3CDTF">2021-06-15T16:10:00Z</dcterms:created>
  <dcterms:modified xsi:type="dcterms:W3CDTF">2021-06-15T16:10:00Z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